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AFFF7" w14:textId="7CF66B80" w:rsidR="00BF016D" w:rsidRDefault="00BF016D" w:rsidP="00A804E7">
      <w:pPr>
        <w:ind w:left="-426"/>
      </w:pPr>
    </w:p>
    <w:p w14:paraId="14871772" w14:textId="1D9B3354" w:rsidR="006C4FD9" w:rsidRPr="006C4FD9" w:rsidRDefault="006C4FD9" w:rsidP="006C4FD9"/>
    <w:p w14:paraId="660CD8DB" w14:textId="15E8445E" w:rsidR="006C4FD9" w:rsidRPr="006C4FD9" w:rsidRDefault="006C4FD9" w:rsidP="006C4FD9"/>
    <w:p w14:paraId="0A9398D4" w14:textId="5B5AA5DA" w:rsidR="006C4FD9" w:rsidRPr="006C4FD9" w:rsidRDefault="006C4FD9" w:rsidP="006C4FD9"/>
    <w:p w14:paraId="0E96B8B4" w14:textId="118994AB" w:rsidR="00CD14C5" w:rsidRPr="00CD14C5" w:rsidRDefault="00CD14C5" w:rsidP="00CD14C5">
      <w:pPr>
        <w:spacing w:before="720"/>
        <w:outlineLvl w:val="0"/>
        <w:rPr>
          <w:rFonts w:ascii="Arial Nova" w:eastAsia="Calibri" w:hAnsi="Arial Nova" w:cs="Cordia New"/>
          <w:b/>
          <w:bCs/>
          <w:noProof/>
          <w:color w:val="192B53"/>
          <w:sz w:val="36"/>
          <w:szCs w:val="36"/>
        </w:rPr>
      </w:pPr>
      <w:r>
        <w:rPr>
          <w:rFonts w:ascii="Arial Nova" w:eastAsia="Calibri" w:hAnsi="Arial Nova" w:cs="Cordia New"/>
          <w:b/>
          <w:bCs/>
          <w:noProof/>
          <w:color w:val="192B53"/>
          <w:sz w:val="36"/>
          <w:szCs w:val="36"/>
        </w:rPr>
        <w:t>C</w:t>
      </w:r>
      <w:r w:rsidRPr="00CD14C5">
        <w:rPr>
          <w:rFonts w:ascii="Arial Nova" w:eastAsia="Calibri" w:hAnsi="Arial Nova" w:cs="Cordia New"/>
          <w:b/>
          <w:bCs/>
          <w:noProof/>
          <w:color w:val="192B53"/>
          <w:sz w:val="36"/>
          <w:szCs w:val="36"/>
        </w:rPr>
        <w:t>ompany announcement</w:t>
      </w:r>
    </w:p>
    <w:p w14:paraId="473899D9" w14:textId="6E8352B1" w:rsidR="00CD14C5" w:rsidRPr="00CD14C5" w:rsidRDefault="00CD14C5" w:rsidP="00CD14C5">
      <w:pPr>
        <w:spacing w:before="60" w:after="120"/>
        <w:outlineLvl w:val="2"/>
        <w:rPr>
          <w:rFonts w:ascii="Arial Nova" w:eastAsia="Calibri" w:hAnsi="Arial Nova" w:cs="Cordia New"/>
          <w:color w:val="192B53"/>
          <w:sz w:val="22"/>
          <w:szCs w:val="22"/>
        </w:rPr>
      </w:pPr>
      <w:r w:rsidRPr="00CD14C5">
        <w:rPr>
          <w:rFonts w:ascii="Arial Nova" w:eastAsia="Calibri" w:hAnsi="Arial Nova" w:cs="Cordia New"/>
          <w:color w:val="192B53"/>
          <w:sz w:val="22"/>
          <w:szCs w:val="22"/>
        </w:rPr>
        <w:t>Release date</w:t>
      </w:r>
      <w:r w:rsidR="00D42A68">
        <w:rPr>
          <w:rFonts w:ascii="Arial Nova" w:eastAsia="Calibri" w:hAnsi="Arial Nova" w:cs="Cordia New"/>
          <w:color w:val="192B53"/>
          <w:sz w:val="22"/>
          <w:szCs w:val="22"/>
        </w:rPr>
        <w:t xml:space="preserve"> </w:t>
      </w:r>
      <w:r w:rsidR="00060306">
        <w:rPr>
          <w:rFonts w:ascii="Arial Nova" w:eastAsia="Calibri" w:hAnsi="Arial Nova" w:cs="Cordia New"/>
          <w:color w:val="192B53"/>
          <w:sz w:val="22"/>
          <w:szCs w:val="22"/>
        </w:rPr>
        <w:t>XX July</w:t>
      </w:r>
      <w:r w:rsidR="00177964">
        <w:rPr>
          <w:rFonts w:ascii="Arial Nova" w:eastAsia="Calibri" w:hAnsi="Arial Nova" w:cs="Cordia New"/>
          <w:color w:val="192B53"/>
          <w:sz w:val="22"/>
          <w:szCs w:val="22"/>
        </w:rPr>
        <w:t xml:space="preserve"> 2025</w:t>
      </w:r>
    </w:p>
    <w:p w14:paraId="1823DD1B" w14:textId="77777777" w:rsidR="00CD14C5" w:rsidRDefault="00CD14C5" w:rsidP="00674F80">
      <w:pPr>
        <w:spacing w:before="120"/>
        <w:rPr>
          <w:rFonts w:ascii="Arial Nova" w:eastAsia="Calibri" w:hAnsi="Arial Nova" w:cs="Cordia New"/>
          <w:color w:val="262626"/>
          <w:sz w:val="20"/>
          <w:szCs w:val="20"/>
        </w:rPr>
      </w:pPr>
    </w:p>
    <w:p w14:paraId="4A390733" w14:textId="77777777" w:rsidR="00060306" w:rsidRPr="00060306" w:rsidRDefault="00060306" w:rsidP="00060306">
      <w:pPr>
        <w:widowControl w:val="0"/>
        <w:autoSpaceDE w:val="0"/>
        <w:autoSpaceDN w:val="0"/>
        <w:spacing w:line="252" w:lineRule="auto"/>
        <w:ind w:left="3503" w:right="116" w:hanging="3044"/>
        <w:rPr>
          <w:rFonts w:ascii="Arial" w:eastAsia="Arial" w:hAnsi="Arial" w:cs="Arial"/>
          <w:sz w:val="40"/>
          <w:szCs w:val="40"/>
          <w:lang w:val="en-US"/>
        </w:rPr>
      </w:pPr>
      <w:r w:rsidRPr="00060306">
        <w:rPr>
          <w:rFonts w:ascii="Arial" w:eastAsia="Arial" w:hAnsi="Arial" w:cs="Arial"/>
          <w:sz w:val="40"/>
          <w:szCs w:val="40"/>
          <w:lang w:val="en-US"/>
        </w:rPr>
        <w:t>June</w:t>
      </w:r>
      <w:r w:rsidRPr="00060306">
        <w:rPr>
          <w:rFonts w:ascii="Arial" w:eastAsia="Arial" w:hAnsi="Arial" w:cs="Arial"/>
          <w:spacing w:val="-7"/>
          <w:sz w:val="40"/>
          <w:szCs w:val="40"/>
          <w:lang w:val="en-US"/>
        </w:rPr>
        <w:t xml:space="preserve"> </w:t>
      </w:r>
      <w:r w:rsidRPr="00060306">
        <w:rPr>
          <w:rFonts w:ascii="Arial" w:eastAsia="Arial" w:hAnsi="Arial" w:cs="Arial"/>
          <w:sz w:val="40"/>
          <w:szCs w:val="40"/>
          <w:lang w:val="en-US"/>
        </w:rPr>
        <w:t>2025</w:t>
      </w:r>
      <w:r w:rsidRPr="00060306">
        <w:rPr>
          <w:rFonts w:ascii="Arial" w:eastAsia="Arial" w:hAnsi="Arial" w:cs="Arial"/>
          <w:spacing w:val="-7"/>
          <w:sz w:val="40"/>
          <w:szCs w:val="40"/>
          <w:lang w:val="en-US"/>
        </w:rPr>
        <w:t xml:space="preserve"> </w:t>
      </w:r>
      <w:r w:rsidRPr="00060306">
        <w:rPr>
          <w:rFonts w:ascii="Arial" w:eastAsia="Arial" w:hAnsi="Arial" w:cs="Arial"/>
          <w:sz w:val="40"/>
          <w:szCs w:val="40"/>
          <w:lang w:val="en-US"/>
        </w:rPr>
        <w:t>Quarterly</w:t>
      </w:r>
      <w:r w:rsidRPr="00060306">
        <w:rPr>
          <w:rFonts w:ascii="Arial" w:eastAsia="Arial" w:hAnsi="Arial" w:cs="Arial"/>
          <w:spacing w:val="-7"/>
          <w:sz w:val="40"/>
          <w:szCs w:val="40"/>
          <w:lang w:val="en-US"/>
        </w:rPr>
        <w:t xml:space="preserve"> </w:t>
      </w:r>
      <w:r w:rsidRPr="00060306">
        <w:rPr>
          <w:rFonts w:ascii="Arial" w:eastAsia="Arial" w:hAnsi="Arial" w:cs="Arial"/>
          <w:sz w:val="40"/>
          <w:szCs w:val="40"/>
          <w:lang w:val="en-US"/>
        </w:rPr>
        <w:t>Activities</w:t>
      </w:r>
      <w:r w:rsidRPr="00060306">
        <w:rPr>
          <w:rFonts w:ascii="Arial" w:eastAsia="Arial" w:hAnsi="Arial" w:cs="Arial"/>
          <w:spacing w:val="-7"/>
          <w:sz w:val="40"/>
          <w:szCs w:val="40"/>
          <w:lang w:val="en-US"/>
        </w:rPr>
        <w:t xml:space="preserve"> </w:t>
      </w:r>
      <w:r w:rsidRPr="00060306">
        <w:rPr>
          <w:rFonts w:ascii="Arial" w:eastAsia="Arial" w:hAnsi="Arial" w:cs="Arial"/>
          <w:sz w:val="40"/>
          <w:szCs w:val="40"/>
          <w:lang w:val="en-US"/>
        </w:rPr>
        <w:t>Report</w:t>
      </w:r>
      <w:r w:rsidRPr="00060306">
        <w:rPr>
          <w:rFonts w:ascii="Arial" w:eastAsia="Arial" w:hAnsi="Arial" w:cs="Arial"/>
          <w:spacing w:val="-7"/>
          <w:sz w:val="40"/>
          <w:szCs w:val="40"/>
          <w:lang w:val="en-US"/>
        </w:rPr>
        <w:t xml:space="preserve"> </w:t>
      </w:r>
      <w:r w:rsidRPr="00060306">
        <w:rPr>
          <w:rFonts w:ascii="Arial" w:eastAsia="Arial" w:hAnsi="Arial" w:cs="Arial"/>
          <w:sz w:val="40"/>
          <w:szCs w:val="40"/>
          <w:lang w:val="en-US"/>
        </w:rPr>
        <w:t>and Appendix 4C</w:t>
      </w:r>
    </w:p>
    <w:p w14:paraId="08D600C1" w14:textId="77777777" w:rsidR="00060306" w:rsidRPr="00060306" w:rsidRDefault="00060306" w:rsidP="00060306">
      <w:pPr>
        <w:widowControl w:val="0"/>
        <w:autoSpaceDE w:val="0"/>
        <w:autoSpaceDN w:val="0"/>
        <w:spacing w:before="225"/>
        <w:ind w:left="140"/>
        <w:outlineLvl w:val="1"/>
        <w:rPr>
          <w:rFonts w:ascii="Calibri" w:eastAsia="Calibri" w:hAnsi="Calibri" w:cs="Calibri"/>
          <w:b/>
          <w:bCs/>
          <w:i/>
          <w:iCs/>
          <w:lang w:val="en-US"/>
        </w:rPr>
      </w:pPr>
      <w:r w:rsidRPr="00060306">
        <w:rPr>
          <w:rFonts w:ascii="Calibri" w:eastAsia="Calibri" w:hAnsi="Calibri" w:cs="Calibri"/>
          <w:b/>
          <w:bCs/>
          <w:i/>
          <w:iCs/>
          <w:spacing w:val="-2"/>
          <w:lang w:val="en-US"/>
        </w:rPr>
        <w:t>Financial</w:t>
      </w:r>
    </w:p>
    <w:p w14:paraId="14E79BB2" w14:textId="1577B3F8" w:rsidR="00060306" w:rsidRPr="00060306" w:rsidRDefault="00060306" w:rsidP="00060306">
      <w:pPr>
        <w:widowControl w:val="0"/>
        <w:autoSpaceDE w:val="0"/>
        <w:autoSpaceDN w:val="0"/>
        <w:spacing w:before="120"/>
        <w:ind w:left="140" w:right="208"/>
        <w:rPr>
          <w:rFonts w:ascii="Calibri" w:eastAsia="Calibri" w:hAnsi="Calibri" w:cs="Calibri"/>
          <w:lang w:val="en-US"/>
        </w:rPr>
      </w:pPr>
      <w:r w:rsidRPr="00060306">
        <w:rPr>
          <w:rFonts w:ascii="Calibri" w:eastAsia="Calibri" w:hAnsi="Calibri" w:cs="Calibri"/>
          <w:lang w:val="en-US"/>
        </w:rPr>
        <w:t xml:space="preserve">The cashflow deficit from operating activities approximated $474,000 in the June quarter, a little higher than the deficit of $391,000 experienced in the </w:t>
      </w:r>
      <w:r w:rsidR="00A8354A">
        <w:rPr>
          <w:rFonts w:ascii="Calibri" w:eastAsia="Calibri" w:hAnsi="Calibri" w:cs="Calibri"/>
          <w:lang w:val="en-US"/>
        </w:rPr>
        <w:t>prior year</w:t>
      </w:r>
      <w:r w:rsidRPr="00060306">
        <w:rPr>
          <w:rFonts w:ascii="Calibri" w:eastAsia="Calibri" w:hAnsi="Calibri" w:cs="Calibri"/>
          <w:lang w:val="en-US"/>
        </w:rPr>
        <w:t xml:space="preserve"> but lower than the deficit of $963,000 recorded in the </w:t>
      </w:r>
      <w:r w:rsidR="00A8354A">
        <w:rPr>
          <w:rFonts w:ascii="Calibri" w:eastAsia="Calibri" w:hAnsi="Calibri" w:cs="Calibri"/>
          <w:lang w:val="en-US"/>
        </w:rPr>
        <w:t>March 2025</w:t>
      </w:r>
      <w:r w:rsidR="00A8354A" w:rsidRPr="00060306">
        <w:rPr>
          <w:rFonts w:ascii="Calibri" w:eastAsia="Calibri" w:hAnsi="Calibri" w:cs="Calibri"/>
          <w:lang w:val="en-US"/>
        </w:rPr>
        <w:t xml:space="preserve"> </w:t>
      </w:r>
      <w:r w:rsidRPr="00060306">
        <w:rPr>
          <w:rFonts w:ascii="Calibri" w:eastAsia="Calibri" w:hAnsi="Calibri" w:cs="Calibri"/>
          <w:lang w:val="en-US"/>
        </w:rPr>
        <w:t>quarter.</w:t>
      </w:r>
    </w:p>
    <w:p w14:paraId="144CBC41" w14:textId="77777777" w:rsidR="00060306" w:rsidRPr="00060306" w:rsidRDefault="00060306" w:rsidP="00060306">
      <w:pPr>
        <w:widowControl w:val="0"/>
        <w:autoSpaceDE w:val="0"/>
        <w:autoSpaceDN w:val="0"/>
        <w:spacing w:before="120"/>
        <w:ind w:left="140" w:right="208"/>
        <w:rPr>
          <w:rFonts w:ascii="Calibri" w:eastAsia="Calibri" w:hAnsi="Calibri" w:cs="Calibri"/>
          <w:lang w:val="en-US"/>
        </w:rPr>
      </w:pPr>
      <w:r w:rsidRPr="00060306">
        <w:rPr>
          <w:rFonts w:ascii="Calibri" w:eastAsia="Calibri" w:hAnsi="Calibri" w:cs="Calibri"/>
          <w:lang w:val="en-US"/>
        </w:rPr>
        <w:t>Within the deficit from operating activities, sales receipts from customers were $823,000 of which Brazil accounted for 38%, USA 35% and Europe 25%. Operating</w:t>
      </w:r>
      <w:r w:rsidRPr="00060306">
        <w:rPr>
          <w:rFonts w:ascii="Calibri" w:eastAsia="Calibri" w:hAnsi="Calibri" w:cs="Calibri"/>
          <w:spacing w:val="-2"/>
          <w:lang w:val="en-US"/>
        </w:rPr>
        <w:t xml:space="preserve"> </w:t>
      </w:r>
      <w:r w:rsidRPr="00060306">
        <w:rPr>
          <w:rFonts w:ascii="Calibri" w:eastAsia="Calibri" w:hAnsi="Calibri" w:cs="Calibri"/>
          <w:lang w:val="en-US"/>
        </w:rPr>
        <w:t>cash</w:t>
      </w:r>
      <w:r w:rsidRPr="00060306">
        <w:rPr>
          <w:rFonts w:ascii="Calibri" w:eastAsia="Calibri" w:hAnsi="Calibri" w:cs="Calibri"/>
          <w:spacing w:val="-3"/>
          <w:lang w:val="en-US"/>
        </w:rPr>
        <w:t xml:space="preserve"> </w:t>
      </w:r>
      <w:r w:rsidRPr="00060306">
        <w:rPr>
          <w:rFonts w:ascii="Calibri" w:eastAsia="Calibri" w:hAnsi="Calibri" w:cs="Calibri"/>
          <w:lang w:val="en-US"/>
        </w:rPr>
        <w:t>outflows</w:t>
      </w:r>
      <w:r w:rsidRPr="00060306">
        <w:rPr>
          <w:rFonts w:ascii="Calibri" w:eastAsia="Calibri" w:hAnsi="Calibri" w:cs="Calibri"/>
          <w:spacing w:val="-4"/>
          <w:lang w:val="en-US"/>
        </w:rPr>
        <w:t xml:space="preserve"> </w:t>
      </w:r>
      <w:r w:rsidRPr="00060306">
        <w:rPr>
          <w:rFonts w:ascii="Calibri" w:eastAsia="Calibri" w:hAnsi="Calibri" w:cs="Calibri"/>
          <w:lang w:val="en-US"/>
        </w:rPr>
        <w:t>of</w:t>
      </w:r>
      <w:r w:rsidRPr="00060306">
        <w:rPr>
          <w:rFonts w:ascii="Calibri" w:eastAsia="Calibri" w:hAnsi="Calibri" w:cs="Calibri"/>
          <w:spacing w:val="-1"/>
          <w:lang w:val="en-US"/>
        </w:rPr>
        <w:t xml:space="preserve"> </w:t>
      </w:r>
      <w:r w:rsidRPr="00060306">
        <w:rPr>
          <w:rFonts w:ascii="Calibri" w:eastAsia="Calibri" w:hAnsi="Calibri" w:cs="Calibri"/>
          <w:lang w:val="en-US"/>
        </w:rPr>
        <w:t>$1,305,000</w:t>
      </w:r>
      <w:r w:rsidRPr="00060306">
        <w:rPr>
          <w:rFonts w:ascii="Calibri" w:eastAsia="Calibri" w:hAnsi="Calibri" w:cs="Calibri"/>
          <w:spacing w:val="-4"/>
          <w:lang w:val="en-US"/>
        </w:rPr>
        <w:t xml:space="preserve"> </w:t>
      </w:r>
      <w:r w:rsidRPr="00060306">
        <w:rPr>
          <w:rFonts w:ascii="Calibri" w:eastAsia="Calibri" w:hAnsi="Calibri" w:cs="Calibri"/>
          <w:lang w:val="en-US"/>
        </w:rPr>
        <w:t>included payments of $314,000 for legal matters.</w:t>
      </w:r>
    </w:p>
    <w:p w14:paraId="5EDED31E" w14:textId="4451F313" w:rsidR="00060306" w:rsidRPr="00060306" w:rsidRDefault="00060306" w:rsidP="00060306">
      <w:pPr>
        <w:widowControl w:val="0"/>
        <w:autoSpaceDE w:val="0"/>
        <w:autoSpaceDN w:val="0"/>
        <w:spacing w:before="120"/>
        <w:ind w:left="140" w:right="244"/>
        <w:jc w:val="both"/>
        <w:rPr>
          <w:rFonts w:ascii="Calibri" w:eastAsia="Calibri" w:hAnsi="Calibri" w:cs="Calibri"/>
          <w:lang w:val="en-US"/>
        </w:rPr>
      </w:pPr>
      <w:r w:rsidRPr="00060306">
        <w:rPr>
          <w:rFonts w:ascii="Calibri" w:eastAsia="Calibri" w:hAnsi="Calibri" w:cs="Calibri"/>
          <w:lang w:val="en-US"/>
        </w:rPr>
        <w:t>The</w:t>
      </w:r>
      <w:r w:rsidRPr="00060306">
        <w:rPr>
          <w:rFonts w:ascii="Calibri" w:eastAsia="Calibri" w:hAnsi="Calibri" w:cs="Calibri"/>
          <w:spacing w:val="-2"/>
          <w:lang w:val="en-US"/>
        </w:rPr>
        <w:t xml:space="preserve"> </w:t>
      </w:r>
      <w:r w:rsidRPr="00060306">
        <w:rPr>
          <w:rFonts w:ascii="Calibri" w:eastAsia="Calibri" w:hAnsi="Calibri" w:cs="Calibri"/>
          <w:lang w:val="en-US"/>
        </w:rPr>
        <w:t>cash</w:t>
      </w:r>
      <w:r w:rsidRPr="00060306">
        <w:rPr>
          <w:rFonts w:ascii="Calibri" w:eastAsia="Calibri" w:hAnsi="Calibri" w:cs="Calibri"/>
          <w:spacing w:val="-2"/>
          <w:lang w:val="en-US"/>
        </w:rPr>
        <w:t xml:space="preserve"> </w:t>
      </w:r>
      <w:r w:rsidRPr="00060306">
        <w:rPr>
          <w:rFonts w:ascii="Calibri" w:eastAsia="Calibri" w:hAnsi="Calibri" w:cs="Calibri"/>
          <w:lang w:val="en-US"/>
        </w:rPr>
        <w:t>position</w:t>
      </w:r>
      <w:r w:rsidRPr="00060306">
        <w:rPr>
          <w:rFonts w:ascii="Calibri" w:eastAsia="Calibri" w:hAnsi="Calibri" w:cs="Calibri"/>
          <w:spacing w:val="-2"/>
          <w:lang w:val="en-US"/>
        </w:rPr>
        <w:t xml:space="preserve"> </w:t>
      </w:r>
      <w:proofErr w:type="gramStart"/>
      <w:r w:rsidR="00A8354A">
        <w:rPr>
          <w:rFonts w:ascii="Calibri" w:eastAsia="Calibri" w:hAnsi="Calibri" w:cs="Calibri"/>
          <w:spacing w:val="-2"/>
          <w:lang w:val="en-US"/>
        </w:rPr>
        <w:t>at</w:t>
      </w:r>
      <w:proofErr w:type="gramEnd"/>
      <w:r w:rsidRPr="00060306">
        <w:rPr>
          <w:rFonts w:ascii="Calibri" w:eastAsia="Calibri" w:hAnsi="Calibri" w:cs="Calibri"/>
          <w:spacing w:val="-2"/>
          <w:lang w:val="en-US"/>
        </w:rPr>
        <w:t xml:space="preserve"> </w:t>
      </w:r>
      <w:r w:rsidRPr="00060306">
        <w:rPr>
          <w:rFonts w:ascii="Calibri" w:eastAsia="Calibri" w:hAnsi="Calibri" w:cs="Calibri"/>
          <w:lang w:val="en-US"/>
        </w:rPr>
        <w:t>30 June was $6.2m, down $652,000</w:t>
      </w:r>
      <w:r w:rsidRPr="00060306">
        <w:rPr>
          <w:rFonts w:ascii="Calibri" w:eastAsia="Calibri" w:hAnsi="Calibri" w:cs="Calibri"/>
          <w:spacing w:val="-1"/>
          <w:lang w:val="en-US"/>
        </w:rPr>
        <w:t xml:space="preserve"> </w:t>
      </w:r>
      <w:r w:rsidRPr="00060306">
        <w:rPr>
          <w:rFonts w:ascii="Calibri" w:eastAsia="Calibri" w:hAnsi="Calibri" w:cs="Calibri"/>
          <w:lang w:val="en-US"/>
        </w:rPr>
        <w:t>during</w:t>
      </w:r>
      <w:r w:rsidRPr="00060306">
        <w:rPr>
          <w:rFonts w:ascii="Calibri" w:eastAsia="Calibri" w:hAnsi="Calibri" w:cs="Calibri"/>
          <w:spacing w:val="-5"/>
          <w:lang w:val="en-US"/>
        </w:rPr>
        <w:t xml:space="preserve"> </w:t>
      </w:r>
      <w:r w:rsidRPr="00060306">
        <w:rPr>
          <w:rFonts w:ascii="Calibri" w:eastAsia="Calibri" w:hAnsi="Calibri" w:cs="Calibri"/>
          <w:lang w:val="en-US"/>
        </w:rPr>
        <w:t>the</w:t>
      </w:r>
      <w:r w:rsidRPr="00060306">
        <w:rPr>
          <w:rFonts w:ascii="Calibri" w:eastAsia="Calibri" w:hAnsi="Calibri" w:cs="Calibri"/>
          <w:spacing w:val="-4"/>
          <w:lang w:val="en-US"/>
        </w:rPr>
        <w:t xml:space="preserve"> </w:t>
      </w:r>
      <w:r w:rsidRPr="00060306">
        <w:rPr>
          <w:rFonts w:ascii="Calibri" w:eastAsia="Calibri" w:hAnsi="Calibri" w:cs="Calibri"/>
          <w:lang w:val="en-US"/>
        </w:rPr>
        <w:t>quarter.</w:t>
      </w:r>
    </w:p>
    <w:p w14:paraId="25560702" w14:textId="77777777" w:rsidR="00060306" w:rsidRPr="00060306" w:rsidRDefault="00060306" w:rsidP="00060306">
      <w:pPr>
        <w:widowControl w:val="0"/>
        <w:autoSpaceDE w:val="0"/>
        <w:autoSpaceDN w:val="0"/>
        <w:spacing w:before="120"/>
        <w:ind w:left="140" w:right="208"/>
        <w:rPr>
          <w:rFonts w:ascii="Calibri" w:eastAsia="Calibri" w:hAnsi="Calibri" w:cs="Calibri"/>
          <w:lang w:val="en-US"/>
        </w:rPr>
      </w:pPr>
      <w:r w:rsidRPr="00060306">
        <w:rPr>
          <w:rFonts w:ascii="Calibri" w:eastAsia="Calibri" w:hAnsi="Calibri" w:cs="Calibri"/>
          <w:lang w:val="en-US"/>
        </w:rPr>
        <w:t>In</w:t>
      </w:r>
      <w:r w:rsidRPr="00060306">
        <w:rPr>
          <w:rFonts w:ascii="Calibri" w:eastAsia="Calibri" w:hAnsi="Calibri" w:cs="Calibri"/>
          <w:spacing w:val="-3"/>
          <w:lang w:val="en-US"/>
        </w:rPr>
        <w:t xml:space="preserve"> </w:t>
      </w:r>
      <w:r w:rsidRPr="00060306">
        <w:rPr>
          <w:rFonts w:ascii="Calibri" w:eastAsia="Calibri" w:hAnsi="Calibri" w:cs="Calibri"/>
          <w:lang w:val="en-US"/>
        </w:rPr>
        <w:t>accordance</w:t>
      </w:r>
      <w:r w:rsidRPr="00060306">
        <w:rPr>
          <w:rFonts w:ascii="Calibri" w:eastAsia="Calibri" w:hAnsi="Calibri" w:cs="Calibri"/>
          <w:spacing w:val="-3"/>
          <w:lang w:val="en-US"/>
        </w:rPr>
        <w:t xml:space="preserve"> </w:t>
      </w:r>
      <w:r w:rsidRPr="00060306">
        <w:rPr>
          <w:rFonts w:ascii="Calibri" w:eastAsia="Calibri" w:hAnsi="Calibri" w:cs="Calibri"/>
          <w:lang w:val="en-US"/>
        </w:rPr>
        <w:t>with</w:t>
      </w:r>
      <w:r w:rsidRPr="00060306">
        <w:rPr>
          <w:rFonts w:ascii="Calibri" w:eastAsia="Calibri" w:hAnsi="Calibri" w:cs="Calibri"/>
          <w:spacing w:val="-4"/>
          <w:lang w:val="en-US"/>
        </w:rPr>
        <w:t xml:space="preserve"> </w:t>
      </w:r>
      <w:r w:rsidRPr="00060306">
        <w:rPr>
          <w:rFonts w:ascii="Calibri" w:eastAsia="Calibri" w:hAnsi="Calibri" w:cs="Calibri"/>
          <w:lang w:val="en-US"/>
        </w:rPr>
        <w:t>Listing</w:t>
      </w:r>
      <w:r w:rsidRPr="00060306">
        <w:rPr>
          <w:rFonts w:ascii="Calibri" w:eastAsia="Calibri" w:hAnsi="Calibri" w:cs="Calibri"/>
          <w:spacing w:val="-3"/>
          <w:lang w:val="en-US"/>
        </w:rPr>
        <w:t xml:space="preserve"> </w:t>
      </w:r>
      <w:r w:rsidRPr="00060306">
        <w:rPr>
          <w:rFonts w:ascii="Calibri" w:eastAsia="Calibri" w:hAnsi="Calibri" w:cs="Calibri"/>
          <w:lang w:val="en-US"/>
        </w:rPr>
        <w:t>Rule</w:t>
      </w:r>
      <w:r w:rsidRPr="00060306">
        <w:rPr>
          <w:rFonts w:ascii="Calibri" w:eastAsia="Calibri" w:hAnsi="Calibri" w:cs="Calibri"/>
          <w:spacing w:val="-3"/>
          <w:lang w:val="en-US"/>
        </w:rPr>
        <w:t xml:space="preserve"> </w:t>
      </w:r>
      <w:r w:rsidRPr="00060306">
        <w:rPr>
          <w:rFonts w:ascii="Calibri" w:eastAsia="Calibri" w:hAnsi="Calibri" w:cs="Calibri"/>
          <w:lang w:val="en-US"/>
        </w:rPr>
        <w:t>4.7C,</w:t>
      </w:r>
      <w:r w:rsidRPr="00060306">
        <w:rPr>
          <w:rFonts w:ascii="Calibri" w:eastAsia="Calibri" w:hAnsi="Calibri" w:cs="Calibri"/>
          <w:spacing w:val="-3"/>
          <w:lang w:val="en-US"/>
        </w:rPr>
        <w:t xml:space="preserve"> </w:t>
      </w:r>
      <w:r w:rsidRPr="00060306">
        <w:rPr>
          <w:rFonts w:ascii="Calibri" w:eastAsia="Calibri" w:hAnsi="Calibri" w:cs="Calibri"/>
          <w:lang w:val="en-US"/>
        </w:rPr>
        <w:t>payments</w:t>
      </w:r>
      <w:r w:rsidRPr="00060306">
        <w:rPr>
          <w:rFonts w:ascii="Calibri" w:eastAsia="Calibri" w:hAnsi="Calibri" w:cs="Calibri"/>
          <w:spacing w:val="-5"/>
          <w:lang w:val="en-US"/>
        </w:rPr>
        <w:t xml:space="preserve"> </w:t>
      </w:r>
      <w:r w:rsidRPr="00060306">
        <w:rPr>
          <w:rFonts w:ascii="Calibri" w:eastAsia="Calibri" w:hAnsi="Calibri" w:cs="Calibri"/>
          <w:lang w:val="en-US"/>
        </w:rPr>
        <w:t>made</w:t>
      </w:r>
      <w:r w:rsidRPr="00060306">
        <w:rPr>
          <w:rFonts w:ascii="Calibri" w:eastAsia="Calibri" w:hAnsi="Calibri" w:cs="Calibri"/>
          <w:spacing w:val="-4"/>
          <w:lang w:val="en-US"/>
        </w:rPr>
        <w:t xml:space="preserve"> </w:t>
      </w:r>
      <w:r w:rsidRPr="00060306">
        <w:rPr>
          <w:rFonts w:ascii="Calibri" w:eastAsia="Calibri" w:hAnsi="Calibri" w:cs="Calibri"/>
          <w:lang w:val="en-US"/>
        </w:rPr>
        <w:t>to</w:t>
      </w:r>
      <w:r w:rsidRPr="00060306">
        <w:rPr>
          <w:rFonts w:ascii="Calibri" w:eastAsia="Calibri" w:hAnsi="Calibri" w:cs="Calibri"/>
          <w:spacing w:val="-3"/>
          <w:lang w:val="en-US"/>
        </w:rPr>
        <w:t xml:space="preserve"> </w:t>
      </w:r>
      <w:r w:rsidRPr="00060306">
        <w:rPr>
          <w:rFonts w:ascii="Calibri" w:eastAsia="Calibri" w:hAnsi="Calibri" w:cs="Calibri"/>
          <w:lang w:val="en-US"/>
        </w:rPr>
        <w:t>related</w:t>
      </w:r>
      <w:r w:rsidRPr="00060306">
        <w:rPr>
          <w:rFonts w:ascii="Calibri" w:eastAsia="Calibri" w:hAnsi="Calibri" w:cs="Calibri"/>
          <w:spacing w:val="-4"/>
          <w:lang w:val="en-US"/>
        </w:rPr>
        <w:t xml:space="preserve"> </w:t>
      </w:r>
      <w:r w:rsidRPr="00060306">
        <w:rPr>
          <w:rFonts w:ascii="Calibri" w:eastAsia="Calibri" w:hAnsi="Calibri" w:cs="Calibri"/>
          <w:lang w:val="en-US"/>
        </w:rPr>
        <w:t>parties</w:t>
      </w:r>
      <w:r w:rsidRPr="00060306">
        <w:rPr>
          <w:rFonts w:ascii="Calibri" w:eastAsia="Calibri" w:hAnsi="Calibri" w:cs="Calibri"/>
          <w:spacing w:val="-3"/>
          <w:lang w:val="en-US"/>
        </w:rPr>
        <w:t xml:space="preserve"> </w:t>
      </w:r>
      <w:r w:rsidRPr="00060306">
        <w:rPr>
          <w:rFonts w:ascii="Calibri" w:eastAsia="Calibri" w:hAnsi="Calibri" w:cs="Calibri"/>
          <w:lang w:val="en-US"/>
        </w:rPr>
        <w:t>and</w:t>
      </w:r>
      <w:r w:rsidRPr="00060306">
        <w:rPr>
          <w:rFonts w:ascii="Calibri" w:eastAsia="Calibri" w:hAnsi="Calibri" w:cs="Calibri"/>
          <w:spacing w:val="-3"/>
          <w:lang w:val="en-US"/>
        </w:rPr>
        <w:t xml:space="preserve"> </w:t>
      </w:r>
      <w:r w:rsidRPr="00060306">
        <w:rPr>
          <w:rFonts w:ascii="Calibri" w:eastAsia="Calibri" w:hAnsi="Calibri" w:cs="Calibri"/>
          <w:lang w:val="en-US"/>
        </w:rPr>
        <w:t>their</w:t>
      </w:r>
      <w:r w:rsidRPr="00060306">
        <w:rPr>
          <w:rFonts w:ascii="Calibri" w:eastAsia="Calibri" w:hAnsi="Calibri" w:cs="Calibri"/>
          <w:spacing w:val="-4"/>
          <w:lang w:val="en-US"/>
        </w:rPr>
        <w:t xml:space="preserve"> </w:t>
      </w:r>
      <w:r w:rsidRPr="00060306">
        <w:rPr>
          <w:rFonts w:ascii="Calibri" w:eastAsia="Calibri" w:hAnsi="Calibri" w:cs="Calibri"/>
          <w:lang w:val="en-US"/>
        </w:rPr>
        <w:t>associates included in item</w:t>
      </w:r>
      <w:r w:rsidRPr="00060306">
        <w:rPr>
          <w:rFonts w:ascii="Calibri" w:eastAsia="Calibri" w:hAnsi="Calibri" w:cs="Calibri"/>
          <w:spacing w:val="-1"/>
          <w:lang w:val="en-US"/>
        </w:rPr>
        <w:t xml:space="preserve"> </w:t>
      </w:r>
      <w:r w:rsidRPr="00060306">
        <w:rPr>
          <w:rFonts w:ascii="Calibri" w:eastAsia="Calibri" w:hAnsi="Calibri" w:cs="Calibri"/>
          <w:lang w:val="en-US"/>
        </w:rPr>
        <w:t>6.1 of</w:t>
      </w:r>
      <w:r w:rsidRPr="00060306">
        <w:rPr>
          <w:rFonts w:ascii="Calibri" w:eastAsia="Calibri" w:hAnsi="Calibri" w:cs="Calibri"/>
          <w:spacing w:val="-1"/>
          <w:lang w:val="en-US"/>
        </w:rPr>
        <w:t xml:space="preserve"> </w:t>
      </w:r>
      <w:r w:rsidRPr="00060306">
        <w:rPr>
          <w:rFonts w:ascii="Calibri" w:eastAsia="Calibri" w:hAnsi="Calibri" w:cs="Calibri"/>
          <w:lang w:val="en-US"/>
        </w:rPr>
        <w:t>the Appendix</w:t>
      </w:r>
      <w:r w:rsidRPr="00060306">
        <w:rPr>
          <w:rFonts w:ascii="Calibri" w:eastAsia="Calibri" w:hAnsi="Calibri" w:cs="Calibri"/>
          <w:spacing w:val="-1"/>
          <w:lang w:val="en-US"/>
        </w:rPr>
        <w:t xml:space="preserve"> </w:t>
      </w:r>
      <w:r w:rsidRPr="00060306">
        <w:rPr>
          <w:rFonts w:ascii="Calibri" w:eastAsia="Calibri" w:hAnsi="Calibri" w:cs="Calibri"/>
          <w:lang w:val="en-US"/>
        </w:rPr>
        <w:t>4C relate to</w:t>
      </w:r>
      <w:r w:rsidRPr="00060306">
        <w:rPr>
          <w:rFonts w:ascii="Calibri" w:eastAsia="Calibri" w:hAnsi="Calibri" w:cs="Calibri"/>
          <w:spacing w:val="-1"/>
          <w:lang w:val="en-US"/>
        </w:rPr>
        <w:t xml:space="preserve"> </w:t>
      </w:r>
      <w:r w:rsidRPr="00060306">
        <w:rPr>
          <w:rFonts w:ascii="Calibri" w:eastAsia="Calibri" w:hAnsi="Calibri" w:cs="Calibri"/>
          <w:lang w:val="en-US"/>
        </w:rPr>
        <w:t>directors’</w:t>
      </w:r>
      <w:r w:rsidRPr="00060306">
        <w:rPr>
          <w:rFonts w:ascii="Calibri" w:eastAsia="Calibri" w:hAnsi="Calibri" w:cs="Calibri"/>
          <w:spacing w:val="-1"/>
          <w:lang w:val="en-US"/>
        </w:rPr>
        <w:t xml:space="preserve"> </w:t>
      </w:r>
      <w:r w:rsidRPr="00060306">
        <w:rPr>
          <w:rFonts w:ascii="Calibri" w:eastAsia="Calibri" w:hAnsi="Calibri" w:cs="Calibri"/>
          <w:lang w:val="en-US"/>
        </w:rPr>
        <w:t>fees (including</w:t>
      </w:r>
      <w:r w:rsidRPr="00060306">
        <w:rPr>
          <w:rFonts w:ascii="Calibri" w:eastAsia="Calibri" w:hAnsi="Calibri" w:cs="Calibri"/>
          <w:spacing w:val="-5"/>
          <w:lang w:val="en-US"/>
        </w:rPr>
        <w:t xml:space="preserve"> </w:t>
      </w:r>
      <w:r w:rsidRPr="00060306">
        <w:rPr>
          <w:rFonts w:ascii="Calibri" w:eastAsia="Calibri" w:hAnsi="Calibri" w:cs="Calibri"/>
          <w:lang w:val="en-US"/>
        </w:rPr>
        <w:t>superannuation) paid to non-executive directors.</w:t>
      </w:r>
    </w:p>
    <w:p w14:paraId="70579AC9" w14:textId="77777777" w:rsidR="00060306" w:rsidRPr="00060306" w:rsidRDefault="00060306" w:rsidP="00060306">
      <w:pPr>
        <w:widowControl w:val="0"/>
        <w:autoSpaceDE w:val="0"/>
        <w:autoSpaceDN w:val="0"/>
        <w:spacing w:before="120"/>
        <w:ind w:left="140"/>
        <w:outlineLvl w:val="1"/>
        <w:rPr>
          <w:rFonts w:ascii="Calibri" w:eastAsia="Calibri" w:hAnsi="Calibri" w:cs="Calibri"/>
          <w:b/>
          <w:bCs/>
          <w:i/>
          <w:iCs/>
          <w:spacing w:val="-2"/>
          <w:lang w:val="en-US"/>
        </w:rPr>
      </w:pPr>
      <w:r w:rsidRPr="00060306">
        <w:rPr>
          <w:rFonts w:ascii="Calibri" w:eastAsia="Calibri" w:hAnsi="Calibri" w:cs="Calibri"/>
          <w:b/>
          <w:bCs/>
          <w:i/>
          <w:iCs/>
          <w:spacing w:val="-2"/>
          <w:lang w:val="en-US"/>
        </w:rPr>
        <w:t>Operations</w:t>
      </w:r>
    </w:p>
    <w:p w14:paraId="6BDA00A9" w14:textId="727D1A35" w:rsidR="00060306" w:rsidRPr="00060306" w:rsidRDefault="00060306" w:rsidP="00060306">
      <w:pPr>
        <w:widowControl w:val="0"/>
        <w:autoSpaceDE w:val="0"/>
        <w:autoSpaceDN w:val="0"/>
        <w:spacing w:before="120"/>
        <w:ind w:left="140" w:right="208"/>
        <w:rPr>
          <w:rFonts w:ascii="Calibri" w:eastAsia="Calibri" w:hAnsi="Calibri" w:cs="Calibri"/>
          <w:lang w:val="en-US"/>
        </w:rPr>
      </w:pPr>
      <w:r w:rsidRPr="00060306">
        <w:rPr>
          <w:rFonts w:ascii="Calibri" w:eastAsia="Calibri" w:hAnsi="Calibri" w:cs="Calibri"/>
          <w:lang w:val="en-US"/>
        </w:rPr>
        <w:t xml:space="preserve">During the June quarter sales totaled 197t compared with 382t in the March quarter, taking the June half year to 579t. </w:t>
      </w:r>
      <w:r w:rsidRPr="00060306">
        <w:rPr>
          <w:rFonts w:ascii="Calibri" w:eastAsia="Calibri" w:hAnsi="Calibri" w:cs="Calibri"/>
          <w:spacing w:val="-2"/>
          <w:lang w:val="en-US"/>
        </w:rPr>
        <w:t>The performance in the quarter was less than expected because some projects in Europe were deferred until the second half year</w:t>
      </w:r>
      <w:r w:rsidRPr="00060306">
        <w:rPr>
          <w:rFonts w:ascii="Calibri" w:eastAsia="Calibri" w:hAnsi="Calibri" w:cs="Calibri"/>
          <w:lang w:val="en-US"/>
        </w:rPr>
        <w:t xml:space="preserve">. Europe still accounted for 47% of sales, where the </w:t>
      </w:r>
      <w:r w:rsidRPr="00060306">
        <w:rPr>
          <w:rFonts w:ascii="Calibri" w:eastAsia="Calibri" w:hAnsi="Calibri" w:cs="Calibri"/>
          <w:spacing w:val="-2"/>
          <w:lang w:val="en-US"/>
        </w:rPr>
        <w:t>potential to supply the wastewater business in addition to the lakes business is a growing focus,</w:t>
      </w:r>
      <w:r w:rsidRPr="00060306">
        <w:rPr>
          <w:rFonts w:ascii="Calibri" w:eastAsia="Calibri" w:hAnsi="Calibri" w:cs="Calibri"/>
          <w:lang w:val="en-US"/>
        </w:rPr>
        <w:t xml:space="preserve"> while those to our distributors in Brazil, South </w:t>
      </w:r>
      <w:r w:rsidR="00A8354A" w:rsidRPr="00060306">
        <w:rPr>
          <w:rFonts w:ascii="Calibri" w:eastAsia="Calibri" w:hAnsi="Calibri" w:cs="Calibri"/>
          <w:lang w:val="en-US"/>
        </w:rPr>
        <w:t>Korea and</w:t>
      </w:r>
      <w:r w:rsidRPr="00060306">
        <w:rPr>
          <w:rFonts w:ascii="Calibri" w:eastAsia="Calibri" w:hAnsi="Calibri" w:cs="Calibri"/>
          <w:lang w:val="en-US"/>
        </w:rPr>
        <w:t xml:space="preserve"> the USA accounted for 32%, 11% and 5%, respectively.</w:t>
      </w:r>
    </w:p>
    <w:p w14:paraId="2558461D" w14:textId="77777777" w:rsidR="00060306" w:rsidRPr="00060306" w:rsidRDefault="00060306" w:rsidP="00060306">
      <w:pPr>
        <w:widowControl w:val="0"/>
        <w:autoSpaceDE w:val="0"/>
        <w:autoSpaceDN w:val="0"/>
        <w:spacing w:before="120"/>
        <w:ind w:left="140" w:right="208"/>
        <w:rPr>
          <w:rFonts w:ascii="Calibri" w:eastAsia="Calibri" w:hAnsi="Calibri" w:cs="Calibri"/>
          <w:spacing w:val="-2"/>
          <w:lang w:val="en-US"/>
        </w:rPr>
      </w:pPr>
      <w:r w:rsidRPr="00060306">
        <w:rPr>
          <w:rFonts w:ascii="Calibri" w:eastAsia="Calibri" w:hAnsi="Calibri" w:cs="Calibri"/>
          <w:lang w:val="en-US"/>
        </w:rPr>
        <w:t xml:space="preserve">Refurbishment of the factory in </w:t>
      </w:r>
      <w:proofErr w:type="spellStart"/>
      <w:r w:rsidRPr="00060306">
        <w:rPr>
          <w:rFonts w:ascii="Calibri" w:eastAsia="Calibri" w:hAnsi="Calibri" w:cs="Calibri"/>
          <w:lang w:val="en-US"/>
        </w:rPr>
        <w:t>Changxing</w:t>
      </w:r>
      <w:proofErr w:type="spellEnd"/>
      <w:r w:rsidRPr="00060306">
        <w:rPr>
          <w:rFonts w:ascii="Calibri" w:eastAsia="Calibri" w:hAnsi="Calibri" w:cs="Calibri"/>
          <w:lang w:val="en-US"/>
        </w:rPr>
        <w:t xml:space="preserve"> is expected to be completed in August. Resumption of production could still occur by the end of the year but is now more likely in the March quarter 2026; global inventory</w:t>
      </w:r>
      <w:r w:rsidRPr="00060306">
        <w:rPr>
          <w:rFonts w:ascii="Calibri" w:eastAsia="Calibri" w:hAnsi="Calibri" w:cs="Calibri"/>
          <w:spacing w:val="-1"/>
          <w:lang w:val="en-US"/>
        </w:rPr>
        <w:t xml:space="preserve"> </w:t>
      </w:r>
      <w:proofErr w:type="gramStart"/>
      <w:r w:rsidRPr="00060306">
        <w:rPr>
          <w:rFonts w:ascii="Calibri" w:eastAsia="Calibri" w:hAnsi="Calibri" w:cs="Calibri"/>
          <w:lang w:val="en-US"/>
        </w:rPr>
        <w:t>at</w:t>
      </w:r>
      <w:proofErr w:type="gramEnd"/>
      <w:r w:rsidRPr="00060306">
        <w:rPr>
          <w:rFonts w:ascii="Calibri" w:eastAsia="Calibri" w:hAnsi="Calibri" w:cs="Calibri"/>
          <w:spacing w:val="-1"/>
          <w:lang w:val="en-US"/>
        </w:rPr>
        <w:t xml:space="preserve"> </w:t>
      </w:r>
      <w:r w:rsidRPr="00060306">
        <w:rPr>
          <w:rFonts w:ascii="Calibri" w:eastAsia="Calibri" w:hAnsi="Calibri" w:cs="Calibri"/>
          <w:lang w:val="en-US"/>
        </w:rPr>
        <w:t>30 June was</w:t>
      </w:r>
      <w:r w:rsidRPr="00060306">
        <w:rPr>
          <w:rFonts w:ascii="Calibri" w:eastAsia="Calibri" w:hAnsi="Calibri" w:cs="Calibri"/>
          <w:spacing w:val="-4"/>
          <w:lang w:val="en-US"/>
        </w:rPr>
        <w:t xml:space="preserve"> </w:t>
      </w:r>
      <w:r w:rsidRPr="00060306">
        <w:rPr>
          <w:rFonts w:ascii="Calibri" w:eastAsia="Calibri" w:hAnsi="Calibri" w:cs="Calibri"/>
          <w:lang w:val="en-US"/>
        </w:rPr>
        <w:t>1,806</w:t>
      </w:r>
      <w:r w:rsidRPr="00060306">
        <w:rPr>
          <w:rFonts w:ascii="Calibri" w:eastAsia="Calibri" w:hAnsi="Calibri" w:cs="Calibri"/>
          <w:spacing w:val="-1"/>
          <w:lang w:val="en-US"/>
        </w:rPr>
        <w:t xml:space="preserve">t </w:t>
      </w:r>
      <w:r w:rsidRPr="00060306">
        <w:rPr>
          <w:rFonts w:ascii="Calibri" w:eastAsia="Calibri" w:hAnsi="Calibri" w:cs="Calibri"/>
          <w:lang w:val="en-US"/>
        </w:rPr>
        <w:t>of</w:t>
      </w:r>
      <w:r w:rsidRPr="00060306">
        <w:rPr>
          <w:rFonts w:ascii="Calibri" w:eastAsia="Calibri" w:hAnsi="Calibri" w:cs="Calibri"/>
          <w:spacing w:val="-2"/>
          <w:lang w:val="en-US"/>
        </w:rPr>
        <w:t xml:space="preserve"> </w:t>
      </w:r>
      <w:r w:rsidRPr="00060306">
        <w:rPr>
          <w:rFonts w:ascii="Calibri" w:eastAsia="Calibri" w:hAnsi="Calibri" w:cs="Calibri"/>
          <w:lang w:val="en-US"/>
        </w:rPr>
        <w:t>which</w:t>
      </w:r>
      <w:r w:rsidRPr="00060306">
        <w:rPr>
          <w:rFonts w:ascii="Calibri" w:eastAsia="Calibri" w:hAnsi="Calibri" w:cs="Calibri"/>
          <w:spacing w:val="-3"/>
          <w:lang w:val="en-US"/>
        </w:rPr>
        <w:t xml:space="preserve"> </w:t>
      </w:r>
      <w:r w:rsidRPr="00060306">
        <w:rPr>
          <w:rFonts w:ascii="Calibri" w:eastAsia="Calibri" w:hAnsi="Calibri" w:cs="Calibri"/>
          <w:lang w:val="en-US"/>
        </w:rPr>
        <w:t>China</w:t>
      </w:r>
      <w:r w:rsidRPr="00060306">
        <w:rPr>
          <w:rFonts w:ascii="Calibri" w:eastAsia="Calibri" w:hAnsi="Calibri" w:cs="Calibri"/>
          <w:spacing w:val="-4"/>
          <w:lang w:val="en-US"/>
        </w:rPr>
        <w:t xml:space="preserve"> </w:t>
      </w:r>
      <w:r w:rsidRPr="00060306">
        <w:rPr>
          <w:rFonts w:ascii="Calibri" w:eastAsia="Calibri" w:hAnsi="Calibri" w:cs="Calibri"/>
          <w:lang w:val="en-US"/>
        </w:rPr>
        <w:t>accounted</w:t>
      </w:r>
      <w:r w:rsidRPr="00060306">
        <w:rPr>
          <w:rFonts w:ascii="Calibri" w:eastAsia="Calibri" w:hAnsi="Calibri" w:cs="Calibri"/>
          <w:spacing w:val="-1"/>
          <w:lang w:val="en-US"/>
        </w:rPr>
        <w:t xml:space="preserve"> </w:t>
      </w:r>
      <w:r w:rsidRPr="00060306">
        <w:rPr>
          <w:rFonts w:ascii="Calibri" w:eastAsia="Calibri" w:hAnsi="Calibri" w:cs="Calibri"/>
          <w:lang w:val="en-US"/>
        </w:rPr>
        <w:t>for</w:t>
      </w:r>
      <w:r w:rsidRPr="00060306">
        <w:rPr>
          <w:rFonts w:ascii="Calibri" w:eastAsia="Calibri" w:hAnsi="Calibri" w:cs="Calibri"/>
          <w:spacing w:val="-1"/>
          <w:lang w:val="en-US"/>
        </w:rPr>
        <w:t xml:space="preserve"> </w:t>
      </w:r>
      <w:r w:rsidRPr="00060306">
        <w:rPr>
          <w:rFonts w:ascii="Calibri" w:eastAsia="Calibri" w:hAnsi="Calibri" w:cs="Calibri"/>
          <w:lang w:val="en-US"/>
        </w:rPr>
        <w:t>873t.</w:t>
      </w:r>
    </w:p>
    <w:p w14:paraId="46867D9B" w14:textId="77777777" w:rsidR="00060306" w:rsidRPr="00060306" w:rsidRDefault="00060306" w:rsidP="00060306">
      <w:pPr>
        <w:widowControl w:val="0"/>
        <w:autoSpaceDE w:val="0"/>
        <w:autoSpaceDN w:val="0"/>
        <w:spacing w:before="120"/>
        <w:ind w:left="140" w:right="208"/>
        <w:rPr>
          <w:rFonts w:ascii="Calibri" w:eastAsia="Calibri" w:hAnsi="Calibri" w:cs="Calibri"/>
          <w:lang w:val="en-US"/>
        </w:rPr>
      </w:pPr>
      <w:r w:rsidRPr="00060306">
        <w:rPr>
          <w:rFonts w:ascii="Calibri" w:eastAsia="Calibri" w:hAnsi="Calibri" w:cs="Calibri"/>
          <w:lang w:val="en-US"/>
        </w:rPr>
        <w:t>R&amp;D efforts in China are continuing. Several experimental products with a 10% lanthanum content have been formulated at laboratory scale, taking various approaches, and are being assessed for their P-binding efficacy and safety in different environments. Initial results are encouraging but it could be some months to determine whether these could become commercial products.</w:t>
      </w:r>
    </w:p>
    <w:p w14:paraId="308D908E" w14:textId="0F9D9687" w:rsidR="00060306" w:rsidRPr="00060306" w:rsidRDefault="00060306" w:rsidP="00060306">
      <w:pPr>
        <w:widowControl w:val="0"/>
        <w:autoSpaceDE w:val="0"/>
        <w:autoSpaceDN w:val="0"/>
        <w:spacing w:before="120"/>
        <w:ind w:left="140" w:right="208"/>
        <w:rPr>
          <w:rFonts w:ascii="Calibri" w:eastAsia="Calibri" w:hAnsi="Calibri" w:cs="Calibri"/>
          <w:lang w:val="en-US"/>
        </w:rPr>
      </w:pPr>
      <w:r w:rsidRPr="00060306">
        <w:rPr>
          <w:rFonts w:ascii="Calibri" w:eastAsia="Calibri" w:hAnsi="Calibri" w:cs="Calibri"/>
          <w:lang w:val="en-US"/>
        </w:rPr>
        <w:lastRenderedPageBreak/>
        <w:t xml:space="preserve">US import tariffs on Chinese goods such as Phoslock remain a concern. To recap, prior to 2018 they were duty free, but in the first Trump administration they were raised to 25%. His second term has become chaotic. Early on a 10% “reciprocal” tariff was added, taking the duty to 35%, then in April they were raised to an effective 145%, which would have made our US business unprofitable. In May a “90-day pause” saw the tariff revert to 35%. The pause will end on 19 August, after which the duty could be extended, decreased, or sharply increased, depending on progress with trade negotiations. In response we are currently shipping 210t to our Savannah warehouse to be added to its inventory, which </w:t>
      </w:r>
      <w:r w:rsidR="0017523E">
        <w:rPr>
          <w:rFonts w:ascii="Calibri" w:eastAsia="Calibri" w:hAnsi="Calibri" w:cs="Calibri"/>
          <w:lang w:val="en-US"/>
        </w:rPr>
        <w:t>has</w:t>
      </w:r>
      <w:r w:rsidRPr="00060306">
        <w:rPr>
          <w:rFonts w:ascii="Calibri" w:eastAsia="Calibri" w:hAnsi="Calibri" w:cs="Calibri"/>
          <w:lang w:val="en-US"/>
        </w:rPr>
        <w:t xml:space="preserve"> been reduced to 98t. A further shipment from China is being considered.</w:t>
      </w:r>
    </w:p>
    <w:p w14:paraId="41EF6AFB" w14:textId="77777777" w:rsidR="00060306" w:rsidRPr="00060306" w:rsidRDefault="00060306" w:rsidP="00060306">
      <w:pPr>
        <w:widowControl w:val="0"/>
        <w:autoSpaceDE w:val="0"/>
        <w:autoSpaceDN w:val="0"/>
        <w:spacing w:before="120"/>
        <w:ind w:left="142"/>
        <w:outlineLvl w:val="1"/>
        <w:rPr>
          <w:rFonts w:ascii="Calibri" w:eastAsia="Calibri" w:hAnsi="Calibri" w:cs="Calibri"/>
          <w:lang w:val="en-US"/>
        </w:rPr>
      </w:pPr>
      <w:r w:rsidRPr="00060306">
        <w:rPr>
          <w:rFonts w:ascii="Calibri" w:eastAsia="Calibri" w:hAnsi="Calibri" w:cs="Calibri"/>
          <w:b/>
          <w:bCs/>
          <w:i/>
          <w:iCs/>
          <w:spacing w:val="-2"/>
          <w:lang w:val="en-US"/>
        </w:rPr>
        <w:t>Corporate</w:t>
      </w:r>
    </w:p>
    <w:p w14:paraId="18E7FF65" w14:textId="77777777" w:rsidR="00060306" w:rsidRPr="00060306" w:rsidRDefault="00060306" w:rsidP="00060306">
      <w:pPr>
        <w:widowControl w:val="0"/>
        <w:autoSpaceDE w:val="0"/>
        <w:autoSpaceDN w:val="0"/>
        <w:spacing w:before="120"/>
        <w:ind w:left="142"/>
        <w:rPr>
          <w:rFonts w:ascii="Calibri" w:eastAsia="Calibri" w:hAnsi="Calibri" w:cs="Calibri"/>
          <w:lang w:val="en-US"/>
        </w:rPr>
      </w:pPr>
      <w:r w:rsidRPr="00060306">
        <w:rPr>
          <w:rFonts w:ascii="Calibri" w:eastAsia="Calibri" w:hAnsi="Calibri" w:cs="Calibri"/>
          <w:lang w:val="en-US"/>
        </w:rPr>
        <w:t>Discussions with the</w:t>
      </w:r>
      <w:r w:rsidRPr="00060306">
        <w:rPr>
          <w:rFonts w:ascii="Calibri" w:eastAsia="Calibri" w:hAnsi="Calibri" w:cs="Calibri"/>
          <w:spacing w:val="-1"/>
          <w:lang w:val="en-US"/>
        </w:rPr>
        <w:t xml:space="preserve"> </w:t>
      </w:r>
      <w:r w:rsidRPr="00060306">
        <w:rPr>
          <w:rFonts w:ascii="Calibri" w:eastAsia="Calibri" w:hAnsi="Calibri" w:cs="Calibri"/>
          <w:lang w:val="en-US"/>
        </w:rPr>
        <w:t>ASX on</w:t>
      </w:r>
      <w:r w:rsidRPr="00060306">
        <w:rPr>
          <w:rFonts w:ascii="Calibri" w:eastAsia="Calibri" w:hAnsi="Calibri" w:cs="Calibri"/>
          <w:spacing w:val="-4"/>
          <w:lang w:val="en-US"/>
        </w:rPr>
        <w:t xml:space="preserve"> </w:t>
      </w:r>
      <w:r w:rsidRPr="00060306">
        <w:rPr>
          <w:rFonts w:ascii="Calibri" w:eastAsia="Calibri" w:hAnsi="Calibri" w:cs="Calibri"/>
          <w:lang w:val="en-US"/>
        </w:rPr>
        <w:t>lifting</w:t>
      </w:r>
      <w:r w:rsidRPr="00060306">
        <w:rPr>
          <w:rFonts w:ascii="Calibri" w:eastAsia="Calibri" w:hAnsi="Calibri" w:cs="Calibri"/>
          <w:spacing w:val="-3"/>
          <w:lang w:val="en-US"/>
        </w:rPr>
        <w:t xml:space="preserve"> </w:t>
      </w:r>
      <w:r w:rsidRPr="00060306">
        <w:rPr>
          <w:rFonts w:ascii="Calibri" w:eastAsia="Calibri" w:hAnsi="Calibri" w:cs="Calibri"/>
          <w:lang w:val="en-US"/>
        </w:rPr>
        <w:t>the</w:t>
      </w:r>
      <w:r w:rsidRPr="00060306">
        <w:rPr>
          <w:rFonts w:ascii="Calibri" w:eastAsia="Calibri" w:hAnsi="Calibri" w:cs="Calibri"/>
          <w:spacing w:val="-4"/>
          <w:lang w:val="en-US"/>
        </w:rPr>
        <w:t xml:space="preserve"> </w:t>
      </w:r>
      <w:r w:rsidRPr="00060306">
        <w:rPr>
          <w:rFonts w:ascii="Calibri" w:eastAsia="Calibri" w:hAnsi="Calibri" w:cs="Calibri"/>
          <w:lang w:val="en-US"/>
        </w:rPr>
        <w:t>suspension</w:t>
      </w:r>
      <w:r w:rsidRPr="00060306">
        <w:rPr>
          <w:rFonts w:ascii="Calibri" w:eastAsia="Calibri" w:hAnsi="Calibri" w:cs="Calibri"/>
          <w:spacing w:val="-3"/>
          <w:lang w:val="en-US"/>
        </w:rPr>
        <w:t xml:space="preserve"> </w:t>
      </w:r>
      <w:r w:rsidRPr="00060306">
        <w:rPr>
          <w:rFonts w:ascii="Calibri" w:eastAsia="Calibri" w:hAnsi="Calibri" w:cs="Calibri"/>
          <w:lang w:val="en-US"/>
        </w:rPr>
        <w:t>on the shares are continuing.</w:t>
      </w:r>
    </w:p>
    <w:p w14:paraId="173D81DD" w14:textId="56AF21E3" w:rsidR="00060306" w:rsidRPr="00060306" w:rsidRDefault="00060306" w:rsidP="00060306">
      <w:pPr>
        <w:widowControl w:val="0"/>
        <w:autoSpaceDE w:val="0"/>
        <w:autoSpaceDN w:val="0"/>
        <w:spacing w:before="120"/>
        <w:ind w:left="142"/>
        <w:rPr>
          <w:rFonts w:ascii="Calibri" w:eastAsia="Calibri" w:hAnsi="Calibri" w:cs="Calibri"/>
          <w:lang w:val="en-US"/>
        </w:rPr>
      </w:pPr>
      <w:r w:rsidRPr="00060306">
        <w:rPr>
          <w:rFonts w:ascii="Calibri" w:eastAsia="Calibri" w:hAnsi="Calibri" w:cs="Calibri"/>
          <w:lang w:val="en-US"/>
        </w:rPr>
        <w:t>Phoslock continues to address legacy legal matters, including a class action filed by the Banton Group on behalf of certain shareholders. While we cannot predict the outcome of these matters, we are fully committed to complying with all regulatory requirements and defending the company’s interests.</w:t>
      </w:r>
    </w:p>
    <w:p w14:paraId="2DABA94B" w14:textId="77777777" w:rsidR="00060306" w:rsidRPr="00060306" w:rsidRDefault="00060306" w:rsidP="00060306">
      <w:pPr>
        <w:widowControl w:val="0"/>
        <w:autoSpaceDE w:val="0"/>
        <w:autoSpaceDN w:val="0"/>
        <w:spacing w:before="120"/>
        <w:rPr>
          <w:rFonts w:ascii="Calibri" w:eastAsia="Calibri" w:hAnsi="Calibri" w:cs="Calibri"/>
          <w:lang w:val="en-US"/>
        </w:rPr>
      </w:pPr>
    </w:p>
    <w:p w14:paraId="2D8A69F4" w14:textId="77777777" w:rsidR="00060306" w:rsidRPr="00060306" w:rsidRDefault="00060306" w:rsidP="00060306">
      <w:pPr>
        <w:widowControl w:val="0"/>
        <w:autoSpaceDE w:val="0"/>
        <w:autoSpaceDN w:val="0"/>
        <w:spacing w:before="120"/>
        <w:ind w:left="140"/>
        <w:jc w:val="both"/>
        <w:rPr>
          <w:rFonts w:ascii="Arial" w:eastAsia="Arial" w:hAnsi="Arial" w:cs="Arial"/>
          <w:b/>
          <w:sz w:val="20"/>
          <w:szCs w:val="22"/>
          <w:lang w:val="en-US"/>
        </w:rPr>
      </w:pPr>
      <w:r w:rsidRPr="00060306">
        <w:rPr>
          <w:rFonts w:ascii="Arial" w:eastAsia="Arial" w:hAnsi="Arial" w:cs="Arial"/>
          <w:b/>
          <w:color w:val="252525"/>
          <w:spacing w:val="-2"/>
          <w:sz w:val="20"/>
          <w:szCs w:val="22"/>
          <w:lang w:val="en-US"/>
        </w:rPr>
        <w:t>This</w:t>
      </w:r>
      <w:r w:rsidRPr="00060306">
        <w:rPr>
          <w:rFonts w:ascii="Arial" w:eastAsia="Arial" w:hAnsi="Arial" w:cs="Arial"/>
          <w:b/>
          <w:color w:val="252525"/>
          <w:spacing w:val="-7"/>
          <w:sz w:val="20"/>
          <w:szCs w:val="22"/>
          <w:lang w:val="en-US"/>
        </w:rPr>
        <w:t xml:space="preserve"> </w:t>
      </w:r>
      <w:r w:rsidRPr="00060306">
        <w:rPr>
          <w:rFonts w:ascii="Arial" w:eastAsia="Arial" w:hAnsi="Arial" w:cs="Arial"/>
          <w:b/>
          <w:color w:val="252525"/>
          <w:spacing w:val="-2"/>
          <w:sz w:val="20"/>
          <w:szCs w:val="22"/>
          <w:lang w:val="en-US"/>
        </w:rPr>
        <w:t>announcement</w:t>
      </w:r>
      <w:r w:rsidRPr="00060306">
        <w:rPr>
          <w:rFonts w:ascii="Arial" w:eastAsia="Arial" w:hAnsi="Arial" w:cs="Arial"/>
          <w:b/>
          <w:color w:val="252525"/>
          <w:spacing w:val="-7"/>
          <w:sz w:val="20"/>
          <w:szCs w:val="22"/>
          <w:lang w:val="en-US"/>
        </w:rPr>
        <w:t xml:space="preserve"> </w:t>
      </w:r>
      <w:r w:rsidRPr="00060306">
        <w:rPr>
          <w:rFonts w:ascii="Arial" w:eastAsia="Arial" w:hAnsi="Arial" w:cs="Arial"/>
          <w:b/>
          <w:color w:val="252525"/>
          <w:spacing w:val="-2"/>
          <w:sz w:val="20"/>
          <w:szCs w:val="22"/>
          <w:lang w:val="en-US"/>
        </w:rPr>
        <w:t>has</w:t>
      </w:r>
      <w:r w:rsidRPr="00060306">
        <w:rPr>
          <w:rFonts w:ascii="Arial" w:eastAsia="Arial" w:hAnsi="Arial" w:cs="Arial"/>
          <w:b/>
          <w:color w:val="252525"/>
          <w:spacing w:val="-6"/>
          <w:sz w:val="20"/>
          <w:szCs w:val="22"/>
          <w:lang w:val="en-US"/>
        </w:rPr>
        <w:t xml:space="preserve"> </w:t>
      </w:r>
      <w:r w:rsidRPr="00060306">
        <w:rPr>
          <w:rFonts w:ascii="Arial" w:eastAsia="Arial" w:hAnsi="Arial" w:cs="Arial"/>
          <w:b/>
          <w:color w:val="252525"/>
          <w:spacing w:val="-2"/>
          <w:sz w:val="20"/>
          <w:szCs w:val="22"/>
          <w:lang w:val="en-US"/>
        </w:rPr>
        <w:t>been</w:t>
      </w:r>
      <w:r w:rsidRPr="00060306">
        <w:rPr>
          <w:rFonts w:ascii="Arial" w:eastAsia="Arial" w:hAnsi="Arial" w:cs="Arial"/>
          <w:b/>
          <w:color w:val="252525"/>
          <w:spacing w:val="-8"/>
          <w:sz w:val="20"/>
          <w:szCs w:val="22"/>
          <w:lang w:val="en-US"/>
        </w:rPr>
        <w:t xml:space="preserve"> </w:t>
      </w:r>
      <w:r w:rsidRPr="00060306">
        <w:rPr>
          <w:rFonts w:ascii="Arial" w:eastAsia="Arial" w:hAnsi="Arial" w:cs="Arial"/>
          <w:b/>
          <w:color w:val="252525"/>
          <w:spacing w:val="-2"/>
          <w:sz w:val="20"/>
          <w:szCs w:val="22"/>
          <w:lang w:val="en-US"/>
        </w:rPr>
        <w:t>approved</w:t>
      </w:r>
      <w:r w:rsidRPr="00060306">
        <w:rPr>
          <w:rFonts w:ascii="Arial" w:eastAsia="Arial" w:hAnsi="Arial" w:cs="Arial"/>
          <w:b/>
          <w:color w:val="252525"/>
          <w:spacing w:val="-6"/>
          <w:sz w:val="20"/>
          <w:szCs w:val="22"/>
          <w:lang w:val="en-US"/>
        </w:rPr>
        <w:t xml:space="preserve"> </w:t>
      </w:r>
      <w:r w:rsidRPr="00060306">
        <w:rPr>
          <w:rFonts w:ascii="Arial" w:eastAsia="Arial" w:hAnsi="Arial" w:cs="Arial"/>
          <w:b/>
          <w:color w:val="252525"/>
          <w:spacing w:val="-2"/>
          <w:sz w:val="20"/>
          <w:szCs w:val="22"/>
          <w:lang w:val="en-US"/>
        </w:rPr>
        <w:t>by</w:t>
      </w:r>
      <w:r w:rsidRPr="00060306">
        <w:rPr>
          <w:rFonts w:ascii="Arial" w:eastAsia="Arial" w:hAnsi="Arial" w:cs="Arial"/>
          <w:b/>
          <w:color w:val="252525"/>
          <w:spacing w:val="-7"/>
          <w:sz w:val="20"/>
          <w:szCs w:val="22"/>
          <w:lang w:val="en-US"/>
        </w:rPr>
        <w:t xml:space="preserve"> </w:t>
      </w:r>
      <w:r w:rsidRPr="00060306">
        <w:rPr>
          <w:rFonts w:ascii="Arial" w:eastAsia="Arial" w:hAnsi="Arial" w:cs="Arial"/>
          <w:b/>
          <w:color w:val="252525"/>
          <w:spacing w:val="-2"/>
          <w:sz w:val="20"/>
          <w:szCs w:val="22"/>
          <w:lang w:val="en-US"/>
        </w:rPr>
        <w:t>the</w:t>
      </w:r>
      <w:r w:rsidRPr="00060306">
        <w:rPr>
          <w:rFonts w:ascii="Arial" w:eastAsia="Arial" w:hAnsi="Arial" w:cs="Arial"/>
          <w:b/>
          <w:color w:val="252525"/>
          <w:spacing w:val="-7"/>
          <w:sz w:val="20"/>
          <w:szCs w:val="22"/>
          <w:lang w:val="en-US"/>
        </w:rPr>
        <w:t xml:space="preserve"> </w:t>
      </w:r>
      <w:r w:rsidRPr="00060306">
        <w:rPr>
          <w:rFonts w:ascii="Arial" w:eastAsia="Arial" w:hAnsi="Arial" w:cs="Arial"/>
          <w:b/>
          <w:color w:val="252525"/>
          <w:spacing w:val="-2"/>
          <w:sz w:val="20"/>
          <w:szCs w:val="22"/>
          <w:lang w:val="en-US"/>
        </w:rPr>
        <w:t>Chairman.</w:t>
      </w:r>
    </w:p>
    <w:p w14:paraId="320F88F6" w14:textId="77777777" w:rsidR="00060306" w:rsidRPr="00060306" w:rsidRDefault="00060306" w:rsidP="00060306">
      <w:pPr>
        <w:widowControl w:val="0"/>
        <w:autoSpaceDE w:val="0"/>
        <w:autoSpaceDN w:val="0"/>
        <w:spacing w:before="120"/>
        <w:rPr>
          <w:rFonts w:ascii="Arial" w:eastAsia="Arial" w:hAnsi="Arial" w:cs="Arial"/>
          <w:b/>
          <w:sz w:val="20"/>
          <w:szCs w:val="22"/>
          <w:lang w:val="en-US"/>
        </w:rPr>
      </w:pPr>
    </w:p>
    <w:p w14:paraId="19061E9C" w14:textId="77777777" w:rsidR="00060306" w:rsidRPr="00060306" w:rsidRDefault="00060306" w:rsidP="00060306">
      <w:pPr>
        <w:widowControl w:val="0"/>
        <w:autoSpaceDE w:val="0"/>
        <w:autoSpaceDN w:val="0"/>
        <w:spacing w:before="120"/>
        <w:ind w:left="140"/>
        <w:rPr>
          <w:rFonts w:ascii="Arial" w:eastAsia="Arial" w:hAnsi="Arial" w:cs="Arial"/>
          <w:b/>
          <w:sz w:val="20"/>
          <w:szCs w:val="22"/>
          <w:lang w:val="en-US"/>
        </w:rPr>
      </w:pPr>
      <w:proofErr w:type="spellStart"/>
      <w:r w:rsidRPr="00060306">
        <w:rPr>
          <w:rFonts w:ascii="Arial" w:eastAsia="Arial" w:hAnsi="Arial" w:cs="Arial"/>
          <w:b/>
          <w:color w:val="252525"/>
          <w:sz w:val="20"/>
          <w:szCs w:val="22"/>
          <w:lang w:val="en-US"/>
        </w:rPr>
        <w:t>Mr</w:t>
      </w:r>
      <w:proofErr w:type="spellEnd"/>
      <w:r w:rsidRPr="00060306">
        <w:rPr>
          <w:rFonts w:ascii="Arial" w:eastAsia="Arial" w:hAnsi="Arial" w:cs="Arial"/>
          <w:b/>
          <w:color w:val="252525"/>
          <w:sz w:val="20"/>
          <w:szCs w:val="22"/>
          <w:lang w:val="en-US"/>
        </w:rPr>
        <w:t xml:space="preserve"> Fred </w:t>
      </w:r>
      <w:r w:rsidRPr="00060306">
        <w:rPr>
          <w:rFonts w:ascii="Arial" w:eastAsia="Arial" w:hAnsi="Arial" w:cs="Arial"/>
          <w:b/>
          <w:color w:val="252525"/>
          <w:spacing w:val="-4"/>
          <w:sz w:val="20"/>
          <w:szCs w:val="22"/>
          <w:lang w:val="en-US"/>
        </w:rPr>
        <w:t>Bart</w:t>
      </w:r>
    </w:p>
    <w:p w14:paraId="1AD106F7" w14:textId="77777777" w:rsidR="00060306" w:rsidRPr="00060306" w:rsidRDefault="00060306" w:rsidP="00060306">
      <w:pPr>
        <w:widowControl w:val="0"/>
        <w:autoSpaceDE w:val="0"/>
        <w:autoSpaceDN w:val="0"/>
        <w:spacing w:before="120"/>
        <w:ind w:left="140"/>
        <w:rPr>
          <w:rFonts w:ascii="Arial" w:eastAsia="Arial" w:hAnsi="Arial" w:cs="Arial"/>
          <w:sz w:val="20"/>
          <w:szCs w:val="22"/>
          <w:lang w:val="en-US"/>
        </w:rPr>
      </w:pPr>
      <w:r w:rsidRPr="00060306">
        <w:rPr>
          <w:rFonts w:ascii="Arial" w:eastAsia="Arial" w:hAnsi="Arial" w:cs="Arial"/>
          <w:color w:val="252525"/>
          <w:spacing w:val="-2"/>
          <w:sz w:val="20"/>
          <w:szCs w:val="22"/>
          <w:lang w:val="en-US"/>
        </w:rPr>
        <w:t>Chairman</w:t>
      </w:r>
    </w:p>
    <w:p w14:paraId="6004DF5C" w14:textId="77777777" w:rsidR="00060306" w:rsidRPr="00060306" w:rsidRDefault="00060306" w:rsidP="00060306">
      <w:pPr>
        <w:widowControl w:val="0"/>
        <w:autoSpaceDE w:val="0"/>
        <w:autoSpaceDN w:val="0"/>
        <w:spacing w:before="120"/>
        <w:ind w:left="1" w:right="1"/>
        <w:jc w:val="center"/>
        <w:rPr>
          <w:rFonts w:ascii="Arial" w:eastAsia="Arial" w:hAnsi="Arial" w:cs="Arial"/>
          <w:color w:val="252525"/>
          <w:spacing w:val="-10"/>
          <w:sz w:val="20"/>
          <w:szCs w:val="22"/>
          <w:lang w:val="en-US"/>
        </w:rPr>
      </w:pPr>
      <w:r w:rsidRPr="00060306">
        <w:rPr>
          <w:rFonts w:ascii="Arial" w:eastAsia="Arial" w:hAnsi="Arial" w:cs="Arial"/>
          <w:color w:val="252525"/>
          <w:sz w:val="20"/>
          <w:szCs w:val="22"/>
          <w:lang w:val="en-US"/>
        </w:rPr>
        <w:t>–</w:t>
      </w:r>
      <w:r w:rsidRPr="00060306">
        <w:rPr>
          <w:rFonts w:ascii="Arial" w:eastAsia="Arial" w:hAnsi="Arial" w:cs="Arial"/>
          <w:color w:val="252525"/>
          <w:spacing w:val="-7"/>
          <w:sz w:val="20"/>
          <w:szCs w:val="22"/>
          <w:lang w:val="en-US"/>
        </w:rPr>
        <w:t xml:space="preserve"> </w:t>
      </w:r>
      <w:r w:rsidRPr="00060306">
        <w:rPr>
          <w:rFonts w:ascii="Arial" w:eastAsia="Arial" w:hAnsi="Arial" w:cs="Arial"/>
          <w:color w:val="252525"/>
          <w:sz w:val="20"/>
          <w:szCs w:val="22"/>
          <w:lang w:val="en-US"/>
        </w:rPr>
        <w:t>end</w:t>
      </w:r>
      <w:r w:rsidRPr="00060306">
        <w:rPr>
          <w:rFonts w:ascii="Arial" w:eastAsia="Arial" w:hAnsi="Arial" w:cs="Arial"/>
          <w:color w:val="252525"/>
          <w:spacing w:val="-9"/>
          <w:sz w:val="20"/>
          <w:szCs w:val="22"/>
          <w:lang w:val="en-US"/>
        </w:rPr>
        <w:t xml:space="preserve"> </w:t>
      </w:r>
      <w:r w:rsidRPr="00060306">
        <w:rPr>
          <w:rFonts w:ascii="Arial" w:eastAsia="Arial" w:hAnsi="Arial" w:cs="Arial"/>
          <w:color w:val="252525"/>
          <w:spacing w:val="-10"/>
          <w:sz w:val="20"/>
          <w:szCs w:val="22"/>
          <w:lang w:val="en-US"/>
        </w:rPr>
        <w:t>–</w:t>
      </w:r>
    </w:p>
    <w:p w14:paraId="35F9BE04" w14:textId="77777777" w:rsidR="00060306" w:rsidRPr="00060306" w:rsidRDefault="00060306" w:rsidP="00060306">
      <w:pPr>
        <w:widowControl w:val="0"/>
        <w:autoSpaceDE w:val="0"/>
        <w:autoSpaceDN w:val="0"/>
        <w:spacing w:before="120"/>
        <w:rPr>
          <w:rFonts w:ascii="Arial" w:eastAsia="Arial" w:hAnsi="Arial" w:cs="Arial"/>
          <w:szCs w:val="22"/>
          <w:lang w:val="en-US"/>
        </w:rPr>
      </w:pPr>
    </w:p>
    <w:p w14:paraId="11D186E1" w14:textId="77777777" w:rsidR="00060306" w:rsidRPr="00CD14C5" w:rsidRDefault="00060306" w:rsidP="00674F80">
      <w:pPr>
        <w:spacing w:before="120"/>
        <w:rPr>
          <w:rFonts w:ascii="Arial Nova" w:eastAsia="Calibri" w:hAnsi="Arial Nova" w:cs="Cordia New"/>
          <w:color w:val="262626"/>
          <w:sz w:val="20"/>
          <w:szCs w:val="20"/>
        </w:rPr>
      </w:pPr>
    </w:p>
    <w:p w14:paraId="258A04DA" w14:textId="77777777" w:rsidR="004C60B4" w:rsidRDefault="004C60B4" w:rsidP="00674F80"/>
    <w:p w14:paraId="1614068A" w14:textId="77777777" w:rsidR="004C60B4" w:rsidRDefault="004C60B4" w:rsidP="00674F80"/>
    <w:p w14:paraId="76ADAB8C" w14:textId="194BA185" w:rsidR="0016270E" w:rsidRPr="008C29A4" w:rsidRDefault="0016270E" w:rsidP="00674F80">
      <w:pPr>
        <w:rPr>
          <w:b/>
          <w:bCs/>
        </w:rPr>
      </w:pPr>
      <w:r w:rsidRPr="008C29A4">
        <w:rPr>
          <w:b/>
          <w:bCs/>
        </w:rPr>
        <w:t>About PET</w:t>
      </w:r>
      <w:r w:rsidR="004C60B4" w:rsidRPr="008C29A4">
        <w:rPr>
          <w:b/>
          <w:bCs/>
        </w:rPr>
        <w:t>:</w:t>
      </w:r>
    </w:p>
    <w:p w14:paraId="49231BAB" w14:textId="4A43534B" w:rsidR="0016270E" w:rsidRDefault="0016270E" w:rsidP="00674F80">
      <w:r w:rsidRPr="000C6352">
        <w:t xml:space="preserve">Phoslock Environmental Technologies Limited (ASX: PET) specialises in water treatment products to remediate polluted lakes, rivers, canals and drinking water reservoirs. </w:t>
      </w:r>
      <w:r w:rsidR="008C29A4">
        <w:t xml:space="preserve"> </w:t>
      </w:r>
    </w:p>
    <w:p w14:paraId="7D925746" w14:textId="77777777" w:rsidR="00060306" w:rsidRDefault="00060306" w:rsidP="00674F80"/>
    <w:p w14:paraId="62E94476" w14:textId="13BCBA4A" w:rsidR="0016270E" w:rsidRDefault="0016270E" w:rsidP="00674F80">
      <w:r w:rsidRPr="000C6352">
        <w:t xml:space="preserve">PET </w:t>
      </w:r>
      <w:r>
        <w:t>is headquartered</w:t>
      </w:r>
      <w:r w:rsidRPr="000C6352">
        <w:t xml:space="preserve"> in </w:t>
      </w:r>
      <w:r>
        <w:t>Sydney</w:t>
      </w:r>
      <w:r w:rsidR="008C29A4">
        <w:t xml:space="preserve">, </w:t>
      </w:r>
      <w:r>
        <w:t xml:space="preserve">has a factory and warehouse in </w:t>
      </w:r>
      <w:proofErr w:type="spellStart"/>
      <w:r>
        <w:t>Changxing</w:t>
      </w:r>
      <w:proofErr w:type="spellEnd"/>
      <w:r>
        <w:t>, China</w:t>
      </w:r>
      <w:r w:rsidR="008C29A4">
        <w:t>, and offices in China, the UK/Europe and in the USA</w:t>
      </w:r>
      <w:r w:rsidRPr="000C6352">
        <w:t xml:space="preserve">.  </w:t>
      </w:r>
      <w:r>
        <w:t>The Company</w:t>
      </w:r>
      <w:r w:rsidRPr="000C6352">
        <w:t xml:space="preserve"> is represented by licensees, distributors and agents in other countries including </w:t>
      </w:r>
      <w:proofErr w:type="spellStart"/>
      <w:r w:rsidRPr="000C6352">
        <w:t>HydroScience</w:t>
      </w:r>
      <w:proofErr w:type="spellEnd"/>
      <w:r w:rsidRPr="000C6352">
        <w:t xml:space="preserve"> in Brazil</w:t>
      </w:r>
      <w:r w:rsidR="008C29A4">
        <w:t xml:space="preserve"> and The Orion Companies in the USA</w:t>
      </w:r>
      <w:r w:rsidRPr="000C6352">
        <w:t>.</w:t>
      </w:r>
    </w:p>
    <w:p w14:paraId="2051C79C" w14:textId="77777777" w:rsidR="00D42A68" w:rsidRDefault="00D42A68" w:rsidP="00674F80"/>
    <w:p w14:paraId="29F45ECD" w14:textId="77777777" w:rsidR="0016270E" w:rsidRDefault="0016270E" w:rsidP="00674F80">
      <w:r>
        <w:t xml:space="preserve">PET’s main manufactured product is </w:t>
      </w:r>
      <w:r w:rsidRPr="000C6352">
        <w:t>Phoslock®</w:t>
      </w:r>
      <w:r>
        <w:t>,</w:t>
      </w:r>
      <w:r w:rsidRPr="000C6352">
        <w:t xml:space="preserve"> a</w:t>
      </w:r>
      <w:r>
        <w:t xml:space="preserve"> lanthanum modified bentonite</w:t>
      </w:r>
      <w:r w:rsidRPr="000C6352">
        <w:t xml:space="preserve"> </w:t>
      </w:r>
      <w:r>
        <w:t xml:space="preserve">(LMB) </w:t>
      </w:r>
      <w:r w:rsidRPr="000C6352">
        <w:t xml:space="preserve">that permanently binds excess phosphorus in the water column </w:t>
      </w:r>
      <w:r>
        <w:t xml:space="preserve">and </w:t>
      </w:r>
      <w:proofErr w:type="gramStart"/>
      <w:r>
        <w:t>sediments, and</w:t>
      </w:r>
      <w:proofErr w:type="gramEnd"/>
      <w:r>
        <w:t xml:space="preserve"> thus improves water quality and biodiversity.  </w:t>
      </w:r>
      <w:r w:rsidRPr="000C6352">
        <w:t xml:space="preserve">Phoslock </w:t>
      </w:r>
      <w:r>
        <w:t>does not harm living organisms and i</w:t>
      </w:r>
      <w:r w:rsidRPr="000C6352">
        <w:t>s certified for use in drinking water in North America, Europe, Brazil, Australia, and China.</w:t>
      </w:r>
    </w:p>
    <w:p w14:paraId="6E3CAE49" w14:textId="77777777" w:rsidR="00486200" w:rsidRDefault="00486200" w:rsidP="00674F80"/>
    <w:p w14:paraId="1EE5A296" w14:textId="2CA80964" w:rsidR="0016270E" w:rsidRDefault="008C29A4" w:rsidP="00674F80">
      <w:hyperlink r:id="rId10" w:history="1">
        <w:r w:rsidRPr="00FD5E6A">
          <w:rPr>
            <w:rStyle w:val="Hyperlink"/>
          </w:rPr>
          <w:t>www.petwatersolutions.com</w:t>
        </w:r>
      </w:hyperlink>
    </w:p>
    <w:p w14:paraId="7D33CF16" w14:textId="247C21A2" w:rsidR="006C4FD9" w:rsidRPr="006C4FD9" w:rsidRDefault="006C4FD9" w:rsidP="00674F80"/>
    <w:sectPr w:rsidR="006C4FD9" w:rsidRPr="006C4FD9" w:rsidSect="006B2178">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DB00A" w14:textId="77777777" w:rsidR="006B2178" w:rsidRDefault="006B2178" w:rsidP="00CC1061">
      <w:r>
        <w:separator/>
      </w:r>
    </w:p>
  </w:endnote>
  <w:endnote w:type="continuationSeparator" w:id="0">
    <w:p w14:paraId="392362F6" w14:textId="77777777" w:rsidR="006B2178" w:rsidRDefault="006B2178" w:rsidP="00CC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40B3" w14:textId="77777777" w:rsidR="00EE1A69" w:rsidRDefault="00EE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6FC0" w14:textId="77777777" w:rsidR="00EE1A69" w:rsidRDefault="00EE1A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21F9" w14:textId="77777777" w:rsidR="00EE1A69" w:rsidRDefault="00EE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D0BCD" w14:textId="77777777" w:rsidR="006B2178" w:rsidRDefault="006B2178" w:rsidP="00CC1061">
      <w:r>
        <w:separator/>
      </w:r>
    </w:p>
  </w:footnote>
  <w:footnote w:type="continuationSeparator" w:id="0">
    <w:p w14:paraId="4199501D" w14:textId="77777777" w:rsidR="006B2178" w:rsidRDefault="006B2178" w:rsidP="00CC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AEF0" w14:textId="77777777" w:rsidR="00EE1A69" w:rsidRDefault="00EE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AD34" w14:textId="3E5F55B6" w:rsidR="00CC1061" w:rsidRDefault="00F7243E">
    <w:pPr>
      <w:pStyle w:val="Header"/>
    </w:pPr>
    <w:r>
      <w:rPr>
        <w:noProof/>
      </w:rPr>
      <w:drawing>
        <wp:anchor distT="0" distB="0" distL="114300" distR="114300" simplePos="0" relativeHeight="251660288" behindDoc="0" locked="0" layoutInCell="1" allowOverlap="1" wp14:anchorId="6A680B25" wp14:editId="1A8067A8">
          <wp:simplePos x="0" y="0"/>
          <wp:positionH relativeFrom="rightMargin">
            <wp:posOffset>-217896</wp:posOffset>
          </wp:positionH>
          <wp:positionV relativeFrom="paragraph">
            <wp:posOffset>-47716</wp:posOffset>
          </wp:positionV>
          <wp:extent cx="637857" cy="37087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r="59700"/>
                  <a:stretch/>
                </pic:blipFill>
                <pic:spPr bwMode="auto">
                  <a:xfrm>
                    <a:off x="0" y="0"/>
                    <a:ext cx="637857" cy="3708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7B9F" w14:textId="5BEE21F6" w:rsidR="00EE1A69" w:rsidRDefault="00EE1A69">
    <w:pPr>
      <w:pStyle w:val="Header"/>
    </w:pPr>
    <w:r>
      <w:rPr>
        <w:noProof/>
      </w:rPr>
      <w:drawing>
        <wp:anchor distT="0" distB="0" distL="114300" distR="114300" simplePos="0" relativeHeight="251658240" behindDoc="0" locked="0" layoutInCell="1" allowOverlap="1" wp14:anchorId="50A14763" wp14:editId="6DA75E21">
          <wp:simplePos x="0" y="0"/>
          <wp:positionH relativeFrom="column">
            <wp:posOffset>-919480</wp:posOffset>
          </wp:positionH>
          <wp:positionV relativeFrom="paragraph">
            <wp:posOffset>-453027</wp:posOffset>
          </wp:positionV>
          <wp:extent cx="7560000" cy="2038670"/>
          <wp:effectExtent l="0" t="0" r="3175" b="0"/>
          <wp:wrapNone/>
          <wp:docPr id="74498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038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111A0"/>
    <w:multiLevelType w:val="hybridMultilevel"/>
    <w:tmpl w:val="96BE6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677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61"/>
    <w:rsid w:val="00007966"/>
    <w:rsid w:val="0004107A"/>
    <w:rsid w:val="0005495B"/>
    <w:rsid w:val="00060306"/>
    <w:rsid w:val="000632D1"/>
    <w:rsid w:val="00066A06"/>
    <w:rsid w:val="000B3790"/>
    <w:rsid w:val="00110CF5"/>
    <w:rsid w:val="00117896"/>
    <w:rsid w:val="0013744F"/>
    <w:rsid w:val="00143DC7"/>
    <w:rsid w:val="0016270E"/>
    <w:rsid w:val="0017523E"/>
    <w:rsid w:val="0017646C"/>
    <w:rsid w:val="00177964"/>
    <w:rsid w:val="00190DB6"/>
    <w:rsid w:val="001C05C0"/>
    <w:rsid w:val="001E54A6"/>
    <w:rsid w:val="00205F11"/>
    <w:rsid w:val="00226B6A"/>
    <w:rsid w:val="002378FE"/>
    <w:rsid w:val="002657EC"/>
    <w:rsid w:val="00271F14"/>
    <w:rsid w:val="00280C20"/>
    <w:rsid w:val="00290B0E"/>
    <w:rsid w:val="00291ACD"/>
    <w:rsid w:val="002A1AF5"/>
    <w:rsid w:val="002B1940"/>
    <w:rsid w:val="002B29FC"/>
    <w:rsid w:val="002B52A9"/>
    <w:rsid w:val="002C129F"/>
    <w:rsid w:val="003408FB"/>
    <w:rsid w:val="00363F64"/>
    <w:rsid w:val="00366BC8"/>
    <w:rsid w:val="00392967"/>
    <w:rsid w:val="003D51C0"/>
    <w:rsid w:val="003D7AE0"/>
    <w:rsid w:val="003E7025"/>
    <w:rsid w:val="0041214A"/>
    <w:rsid w:val="00422B53"/>
    <w:rsid w:val="0042736F"/>
    <w:rsid w:val="00435DBE"/>
    <w:rsid w:val="00470EE5"/>
    <w:rsid w:val="00486200"/>
    <w:rsid w:val="00486D37"/>
    <w:rsid w:val="004C4081"/>
    <w:rsid w:val="004C60B4"/>
    <w:rsid w:val="004D6A45"/>
    <w:rsid w:val="004E7148"/>
    <w:rsid w:val="00524832"/>
    <w:rsid w:val="00526002"/>
    <w:rsid w:val="005428C6"/>
    <w:rsid w:val="00544937"/>
    <w:rsid w:val="00544DE6"/>
    <w:rsid w:val="00547F82"/>
    <w:rsid w:val="00550874"/>
    <w:rsid w:val="00550A2C"/>
    <w:rsid w:val="00550B1D"/>
    <w:rsid w:val="0057027D"/>
    <w:rsid w:val="005865DA"/>
    <w:rsid w:val="005A473C"/>
    <w:rsid w:val="005B2BFB"/>
    <w:rsid w:val="005E0F5C"/>
    <w:rsid w:val="005F1AD5"/>
    <w:rsid w:val="005F4A7D"/>
    <w:rsid w:val="005F517F"/>
    <w:rsid w:val="006071C8"/>
    <w:rsid w:val="00614392"/>
    <w:rsid w:val="0062722E"/>
    <w:rsid w:val="0065588B"/>
    <w:rsid w:val="006707AD"/>
    <w:rsid w:val="00674F80"/>
    <w:rsid w:val="00675244"/>
    <w:rsid w:val="00685807"/>
    <w:rsid w:val="006A3B4D"/>
    <w:rsid w:val="006A66A1"/>
    <w:rsid w:val="006B12C8"/>
    <w:rsid w:val="006B2178"/>
    <w:rsid w:val="006C4FD9"/>
    <w:rsid w:val="007055F1"/>
    <w:rsid w:val="007059AC"/>
    <w:rsid w:val="0073601C"/>
    <w:rsid w:val="00744BF9"/>
    <w:rsid w:val="00780A00"/>
    <w:rsid w:val="007B2E5E"/>
    <w:rsid w:val="007D4ECA"/>
    <w:rsid w:val="0081175A"/>
    <w:rsid w:val="00815E0E"/>
    <w:rsid w:val="00870594"/>
    <w:rsid w:val="008831D7"/>
    <w:rsid w:val="00884670"/>
    <w:rsid w:val="008B4812"/>
    <w:rsid w:val="008C29A4"/>
    <w:rsid w:val="009415E8"/>
    <w:rsid w:val="009A3770"/>
    <w:rsid w:val="009D0A25"/>
    <w:rsid w:val="009E0E62"/>
    <w:rsid w:val="00A05306"/>
    <w:rsid w:val="00A279A8"/>
    <w:rsid w:val="00A31CD0"/>
    <w:rsid w:val="00A770D7"/>
    <w:rsid w:val="00A804E7"/>
    <w:rsid w:val="00A818FF"/>
    <w:rsid w:val="00A8354A"/>
    <w:rsid w:val="00A84C39"/>
    <w:rsid w:val="00AB4217"/>
    <w:rsid w:val="00AC1AA5"/>
    <w:rsid w:val="00AD258C"/>
    <w:rsid w:val="00AD7CF4"/>
    <w:rsid w:val="00B0703B"/>
    <w:rsid w:val="00B26EDA"/>
    <w:rsid w:val="00B35DC2"/>
    <w:rsid w:val="00B46738"/>
    <w:rsid w:val="00B6567D"/>
    <w:rsid w:val="00BB020E"/>
    <w:rsid w:val="00BC6597"/>
    <w:rsid w:val="00BD4511"/>
    <w:rsid w:val="00BD6575"/>
    <w:rsid w:val="00BE24A9"/>
    <w:rsid w:val="00BF016D"/>
    <w:rsid w:val="00C121D8"/>
    <w:rsid w:val="00C404E5"/>
    <w:rsid w:val="00C568A5"/>
    <w:rsid w:val="00C613CF"/>
    <w:rsid w:val="00C66E87"/>
    <w:rsid w:val="00C75C51"/>
    <w:rsid w:val="00CA1427"/>
    <w:rsid w:val="00CC1061"/>
    <w:rsid w:val="00CC169F"/>
    <w:rsid w:val="00CD14C5"/>
    <w:rsid w:val="00CE1BF5"/>
    <w:rsid w:val="00D41E5A"/>
    <w:rsid w:val="00D42A68"/>
    <w:rsid w:val="00D46E25"/>
    <w:rsid w:val="00D74362"/>
    <w:rsid w:val="00D977E1"/>
    <w:rsid w:val="00DA3B0C"/>
    <w:rsid w:val="00E2764F"/>
    <w:rsid w:val="00E54CF6"/>
    <w:rsid w:val="00E628E2"/>
    <w:rsid w:val="00E66B7C"/>
    <w:rsid w:val="00E74712"/>
    <w:rsid w:val="00E9496F"/>
    <w:rsid w:val="00ED3A8E"/>
    <w:rsid w:val="00EE1A69"/>
    <w:rsid w:val="00EF4158"/>
    <w:rsid w:val="00EF7D06"/>
    <w:rsid w:val="00F0003E"/>
    <w:rsid w:val="00F15183"/>
    <w:rsid w:val="00F345DC"/>
    <w:rsid w:val="00F37904"/>
    <w:rsid w:val="00F7243E"/>
    <w:rsid w:val="00FA01CC"/>
    <w:rsid w:val="00FA587C"/>
    <w:rsid w:val="00FC1B60"/>
    <w:rsid w:val="00FE3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79846"/>
  <w15:chartTrackingRefBased/>
  <w15:docId w15:val="{DDCD152E-B0C5-7E44-B547-EBD63AA4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w:basedOn w:val="Normal"/>
    <w:next w:val="Normal"/>
    <w:link w:val="Heading2Char"/>
    <w:uiPriority w:val="9"/>
    <w:unhideWhenUsed/>
    <w:qFormat/>
    <w:rsid w:val="006A3B4D"/>
    <w:pPr>
      <w:spacing w:before="720" w:after="240"/>
      <w:jc w:val="center"/>
      <w:outlineLvl w:val="1"/>
    </w:pPr>
    <w:rPr>
      <w:rFonts w:ascii="Arial Nova" w:hAnsi="Arial Nova"/>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061"/>
    <w:pPr>
      <w:tabs>
        <w:tab w:val="center" w:pos="4513"/>
        <w:tab w:val="right" w:pos="9026"/>
      </w:tabs>
    </w:pPr>
  </w:style>
  <w:style w:type="character" w:customStyle="1" w:styleId="HeaderChar">
    <w:name w:val="Header Char"/>
    <w:basedOn w:val="DefaultParagraphFont"/>
    <w:link w:val="Header"/>
    <w:uiPriority w:val="99"/>
    <w:rsid w:val="00CC1061"/>
  </w:style>
  <w:style w:type="paragraph" w:styleId="Footer">
    <w:name w:val="footer"/>
    <w:basedOn w:val="Normal"/>
    <w:link w:val="FooterChar"/>
    <w:uiPriority w:val="99"/>
    <w:unhideWhenUsed/>
    <w:rsid w:val="00CC1061"/>
    <w:pPr>
      <w:tabs>
        <w:tab w:val="center" w:pos="4513"/>
        <w:tab w:val="right" w:pos="9026"/>
      </w:tabs>
    </w:pPr>
  </w:style>
  <w:style w:type="character" w:customStyle="1" w:styleId="FooterChar">
    <w:name w:val="Footer Char"/>
    <w:basedOn w:val="DefaultParagraphFont"/>
    <w:link w:val="Footer"/>
    <w:uiPriority w:val="99"/>
    <w:rsid w:val="00CC1061"/>
  </w:style>
  <w:style w:type="character" w:customStyle="1" w:styleId="Heading2Char">
    <w:name w:val="Heading 2 Char"/>
    <w:aliases w:val="Heading Char"/>
    <w:basedOn w:val="DefaultParagraphFont"/>
    <w:link w:val="Heading2"/>
    <w:uiPriority w:val="9"/>
    <w:rsid w:val="006A3B4D"/>
    <w:rPr>
      <w:rFonts w:ascii="Arial Nova" w:hAnsi="Arial Nova"/>
      <w:sz w:val="40"/>
      <w:szCs w:val="40"/>
    </w:rPr>
  </w:style>
  <w:style w:type="character" w:styleId="Hyperlink">
    <w:name w:val="Hyperlink"/>
    <w:basedOn w:val="DefaultParagraphFont"/>
    <w:uiPriority w:val="99"/>
    <w:unhideWhenUsed/>
    <w:rsid w:val="0016270E"/>
    <w:rPr>
      <w:color w:val="0563C1" w:themeColor="hyperlink"/>
      <w:u w:val="single"/>
    </w:rPr>
  </w:style>
  <w:style w:type="paragraph" w:styleId="Revision">
    <w:name w:val="Revision"/>
    <w:hidden/>
    <w:uiPriority w:val="99"/>
    <w:semiHidden/>
    <w:rsid w:val="00C66E87"/>
  </w:style>
  <w:style w:type="character" w:styleId="UnresolvedMention">
    <w:name w:val="Unresolved Mention"/>
    <w:basedOn w:val="DefaultParagraphFont"/>
    <w:uiPriority w:val="99"/>
    <w:semiHidden/>
    <w:unhideWhenUsed/>
    <w:rsid w:val="008C2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etwatersolutio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8fcc39-4ceb-44ff-842b-a94cf79b10f6" xsi:nil="true"/>
    <lcf76f155ced4ddcb4097134ff3c332f xmlns="06f84250-005b-436a-8855-075ce87170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12C6099B7CB428B509505EC9722F0" ma:contentTypeVersion="18" ma:contentTypeDescription="Create a new document." ma:contentTypeScope="" ma:versionID="ed85b356deee97e001e9f7b5921e7484">
  <xsd:schema xmlns:xsd="http://www.w3.org/2001/XMLSchema" xmlns:xs="http://www.w3.org/2001/XMLSchema" xmlns:p="http://schemas.microsoft.com/office/2006/metadata/properties" xmlns:ns2="06f84250-005b-436a-8855-075ce8717039" xmlns:ns3="a08fcc39-4ceb-44ff-842b-a94cf79b10f6" targetNamespace="http://schemas.microsoft.com/office/2006/metadata/properties" ma:root="true" ma:fieldsID="af22b4e3cb04927bc58362a2d3b26fb2" ns2:_="" ns3:_="">
    <xsd:import namespace="06f84250-005b-436a-8855-075ce8717039"/>
    <xsd:import namespace="a08fcc39-4ceb-44ff-842b-a94cf79b10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84250-005b-436a-8855-075ce8717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a8614d-7125-4ee5-a67e-06f55821f2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fcc39-4ceb-44ff-842b-a94cf79b10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d5a0e3-ba51-4c42-80f9-d0804ff020ad}" ma:internalName="TaxCatchAll" ma:showField="CatchAllData" ma:web="a08fcc39-4ceb-44ff-842b-a94cf79b10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E0186-1340-4708-B267-5470B81B4B46}">
  <ds:schemaRefs>
    <ds:schemaRef ds:uri="a08fcc39-4ceb-44ff-842b-a94cf79b10f6"/>
    <ds:schemaRef ds:uri="http://purl.org/dc/elements/1.1/"/>
    <ds:schemaRef ds:uri="http://schemas.microsoft.com/office/2006/metadata/properties"/>
    <ds:schemaRef ds:uri="06f84250-005b-436a-8855-075ce871703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C0EBABB-B47F-4A8B-8E7F-6477D2D29F25}">
  <ds:schemaRefs>
    <ds:schemaRef ds:uri="http://schemas.microsoft.com/sharepoint/v3/contenttype/forms"/>
  </ds:schemaRefs>
</ds:datastoreItem>
</file>

<file path=customXml/itemProps3.xml><?xml version="1.0" encoding="utf-8"?>
<ds:datastoreItem xmlns:ds="http://schemas.openxmlformats.org/officeDocument/2006/customXml" ds:itemID="{7F6C259D-CE52-4E74-8458-62CF16434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84250-005b-436a-8855-075ce8717039"/>
    <ds:schemaRef ds:uri="a08fcc39-4ceb-44ff-842b-a94cf79b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627</Words>
  <Characters>3577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Dobell</dc:creator>
  <cp:keywords/>
  <dc:description/>
  <cp:lastModifiedBy>Graeme Newing</cp:lastModifiedBy>
  <cp:revision>2</cp:revision>
  <cp:lastPrinted>2025-01-17T02:40:00Z</cp:lastPrinted>
  <dcterms:created xsi:type="dcterms:W3CDTF">2025-07-15T00:23:00Z</dcterms:created>
  <dcterms:modified xsi:type="dcterms:W3CDTF">2025-07-15T00:23:00Z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0x0101009AD12C6099B7CB428B509505EC9722F0</vt:lpwstr>
  </property>
</Properties>
</file>